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9425" w14:textId="37F0E612" w:rsidR="007C2258" w:rsidRPr="007C2258" w:rsidRDefault="004741EB" w:rsidP="0005445E">
      <w:pPr>
        <w:ind w:firstLine="720"/>
        <w:jc w:val="center"/>
        <w:rPr>
          <w:sz w:val="32"/>
        </w:rPr>
      </w:pPr>
      <w:r>
        <w:rPr>
          <w:sz w:val="32"/>
        </w:rPr>
        <w:t>201</w:t>
      </w:r>
      <w:r w:rsidR="0090086C">
        <w:rPr>
          <w:sz w:val="32"/>
        </w:rPr>
        <w:t>9</w:t>
      </w:r>
      <w:r>
        <w:rPr>
          <w:sz w:val="32"/>
        </w:rPr>
        <w:t xml:space="preserve"> </w:t>
      </w:r>
      <w:r w:rsidR="009E49BF" w:rsidRPr="007C2258">
        <w:rPr>
          <w:sz w:val="32"/>
        </w:rPr>
        <w:t>College Saving Comparison</w:t>
      </w:r>
      <w:r w:rsidR="00941CE6">
        <w:rPr>
          <w:sz w:val="32"/>
        </w:rPr>
        <w:t xml:space="preserve"> </w:t>
      </w:r>
      <w:r w:rsidR="00941CE6" w:rsidRPr="00941CE6">
        <w:rPr>
          <w:sz w:val="20"/>
        </w:rPr>
        <w:t>(additional information found in IRS.gov/publications/p970)</w:t>
      </w:r>
    </w:p>
    <w:tbl>
      <w:tblPr>
        <w:tblW w:w="14490" w:type="dxa"/>
        <w:tblCellSpacing w:w="7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80"/>
        <w:gridCol w:w="2096"/>
        <w:gridCol w:w="1940"/>
        <w:gridCol w:w="2674"/>
        <w:gridCol w:w="2160"/>
        <w:gridCol w:w="2070"/>
        <w:gridCol w:w="2070"/>
      </w:tblGrid>
      <w:tr w:rsidR="00EC7007" w:rsidRPr="009E49BF" w14:paraId="6B89D26A" w14:textId="77777777" w:rsidTr="00EC7007">
        <w:trPr>
          <w:trHeight w:val="218"/>
          <w:tblCellSpacing w:w="7" w:type="dxa"/>
        </w:trPr>
        <w:tc>
          <w:tcPr>
            <w:tcW w:w="1459" w:type="dxa"/>
            <w:shd w:val="clear" w:color="auto" w:fill="EEEEEE"/>
            <w:vAlign w:val="center"/>
          </w:tcPr>
          <w:p w14:paraId="511D32CC" w14:textId="77777777" w:rsidR="00EC7007" w:rsidRPr="00EC7007" w:rsidRDefault="00EC7007" w:rsidP="009E49BF">
            <w:pPr>
              <w:spacing w:line="240" w:lineRule="auto"/>
              <w:rPr>
                <w:rFonts w:ascii="Arial" w:eastAsia="Times New Roman" w:hAnsi="Arial" w:cs="Arial"/>
                <w:color w:val="121DF6"/>
                <w:sz w:val="28"/>
                <w:szCs w:val="28"/>
              </w:rPr>
            </w:pPr>
            <w:r w:rsidRPr="00EC7007">
              <w:rPr>
                <w:rFonts w:ascii="Arial" w:eastAsia="Times New Roman" w:hAnsi="Arial" w:cs="Arial"/>
                <w:color w:val="121DF6"/>
                <w:sz w:val="28"/>
                <w:szCs w:val="28"/>
              </w:rPr>
              <w:t>Page 1:</w:t>
            </w:r>
          </w:p>
        </w:tc>
        <w:tc>
          <w:tcPr>
            <w:tcW w:w="4022" w:type="dxa"/>
            <w:gridSpan w:val="2"/>
            <w:shd w:val="clear" w:color="auto" w:fill="92D050"/>
            <w:vAlign w:val="center"/>
          </w:tcPr>
          <w:p w14:paraId="68329067" w14:textId="77777777" w:rsidR="00EC7007" w:rsidRPr="00EC7007" w:rsidRDefault="00EC7007" w:rsidP="00EC7007">
            <w:pPr>
              <w:spacing w:line="240" w:lineRule="auto"/>
              <w:jc w:val="center"/>
              <w:rPr>
                <w:b/>
                <w:highlight w:val="yellow"/>
              </w:rPr>
            </w:pPr>
            <w:r w:rsidRPr="00EC7007">
              <w:rPr>
                <w:b/>
              </w:rPr>
              <w:t>EDUCATION</w:t>
            </w:r>
          </w:p>
        </w:tc>
        <w:tc>
          <w:tcPr>
            <w:tcW w:w="2660" w:type="dxa"/>
            <w:shd w:val="clear" w:color="auto" w:fill="FFFF00"/>
            <w:vAlign w:val="center"/>
          </w:tcPr>
          <w:p w14:paraId="76DAA684" w14:textId="77777777" w:rsidR="00EC7007" w:rsidRPr="00EC7007" w:rsidRDefault="00EC7007" w:rsidP="00EC7007">
            <w:pPr>
              <w:spacing w:line="240" w:lineRule="auto"/>
              <w:jc w:val="center"/>
              <w:rPr>
                <w:b/>
              </w:rPr>
            </w:pPr>
            <w:r w:rsidRPr="00EC7007">
              <w:rPr>
                <w:b/>
              </w:rPr>
              <w:t>GIFTING</w:t>
            </w:r>
          </w:p>
        </w:tc>
        <w:tc>
          <w:tcPr>
            <w:tcW w:w="6279" w:type="dxa"/>
            <w:gridSpan w:val="3"/>
            <w:shd w:val="clear" w:color="auto" w:fill="00B0F0"/>
            <w:vAlign w:val="center"/>
          </w:tcPr>
          <w:p w14:paraId="3D3313C2" w14:textId="77777777" w:rsidR="00EC7007" w:rsidRPr="00EC7007" w:rsidRDefault="00EC7007" w:rsidP="00EC7007">
            <w:pPr>
              <w:spacing w:line="240" w:lineRule="auto"/>
              <w:jc w:val="center"/>
              <w:rPr>
                <w:b/>
              </w:rPr>
            </w:pPr>
            <w:r w:rsidRPr="00EC7007">
              <w:rPr>
                <w:b/>
              </w:rPr>
              <w:t>OTHER</w:t>
            </w:r>
          </w:p>
        </w:tc>
      </w:tr>
      <w:tr w:rsidR="007C2258" w:rsidRPr="00B14FF3" w14:paraId="75490D4D" w14:textId="77777777" w:rsidTr="00D138AA">
        <w:trPr>
          <w:trHeight w:val="226"/>
          <w:tblCellSpacing w:w="7" w:type="dxa"/>
        </w:trPr>
        <w:tc>
          <w:tcPr>
            <w:tcW w:w="1459" w:type="dxa"/>
            <w:shd w:val="clear" w:color="auto" w:fill="EEEEEE"/>
            <w:vAlign w:val="center"/>
            <w:hideMark/>
          </w:tcPr>
          <w:p w14:paraId="215A1DA7" w14:textId="77777777" w:rsidR="007C2258" w:rsidRPr="00B14FF3" w:rsidRDefault="007C2258" w:rsidP="009E49B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21DF6"/>
                <w:sz w:val="16"/>
                <w:szCs w:val="16"/>
              </w:rPr>
            </w:pPr>
          </w:p>
        </w:tc>
        <w:tc>
          <w:tcPr>
            <w:tcW w:w="2082" w:type="dxa"/>
            <w:shd w:val="clear" w:color="auto" w:fill="EEEEEE"/>
            <w:vAlign w:val="center"/>
            <w:hideMark/>
          </w:tcPr>
          <w:p w14:paraId="19304DF0" w14:textId="77777777" w:rsidR="007C2258" w:rsidRPr="00B14FF3" w:rsidRDefault="00D33C6B" w:rsidP="009E49BF">
            <w:pPr>
              <w:spacing w:line="240" w:lineRule="auto"/>
              <w:rPr>
                <w:rFonts w:ascii="Arial" w:eastAsia="Times New Roman" w:hAnsi="Arial" w:cs="Arial"/>
                <w:b/>
                <w:color w:val="121DF6"/>
                <w:sz w:val="16"/>
                <w:szCs w:val="16"/>
              </w:rPr>
            </w:pPr>
            <w:hyperlink r:id="rId7" w:tgtFrame="_blank" w:history="1">
              <w:r w:rsidR="007C2258" w:rsidRPr="00B14FF3">
                <w:rPr>
                  <w:rFonts w:ascii="Tahoma" w:eastAsia="Times New Roman" w:hAnsi="Tahoma" w:cs="Tahoma"/>
                  <w:b/>
                  <w:color w:val="121DF6"/>
                  <w:sz w:val="16"/>
                  <w:szCs w:val="16"/>
                </w:rPr>
                <w:t>529 Saving Plans</w:t>
              </w:r>
            </w:hyperlink>
          </w:p>
        </w:tc>
        <w:tc>
          <w:tcPr>
            <w:tcW w:w="1926" w:type="dxa"/>
            <w:shd w:val="clear" w:color="auto" w:fill="EEEEEE"/>
            <w:vAlign w:val="center"/>
            <w:hideMark/>
          </w:tcPr>
          <w:p w14:paraId="6D2AA17D" w14:textId="77777777" w:rsidR="007C2258" w:rsidRPr="00B14FF3" w:rsidRDefault="00D33C6B" w:rsidP="009E49BF">
            <w:pPr>
              <w:spacing w:line="240" w:lineRule="auto"/>
              <w:rPr>
                <w:rFonts w:ascii="Arial" w:eastAsia="Times New Roman" w:hAnsi="Arial" w:cs="Arial"/>
                <w:b/>
                <w:color w:val="121DF6"/>
                <w:sz w:val="16"/>
                <w:szCs w:val="16"/>
              </w:rPr>
            </w:pPr>
            <w:hyperlink r:id="rId8" w:tgtFrame="_blank" w:history="1">
              <w:r w:rsidR="007C2258" w:rsidRPr="00B14FF3">
                <w:rPr>
                  <w:rFonts w:ascii="Tahoma" w:eastAsia="Times New Roman" w:hAnsi="Tahoma" w:cs="Tahoma"/>
                  <w:b/>
                  <w:color w:val="121DF6"/>
                  <w:sz w:val="16"/>
                  <w:szCs w:val="16"/>
                </w:rPr>
                <w:t>Coverdell ESA</w:t>
              </w:r>
            </w:hyperlink>
          </w:p>
        </w:tc>
        <w:tc>
          <w:tcPr>
            <w:tcW w:w="2660" w:type="dxa"/>
            <w:shd w:val="clear" w:color="auto" w:fill="EEEEEE"/>
            <w:vAlign w:val="center"/>
            <w:hideMark/>
          </w:tcPr>
          <w:p w14:paraId="1782262F" w14:textId="77777777" w:rsidR="007C2258" w:rsidRPr="00B14FF3" w:rsidRDefault="00D33C6B" w:rsidP="009E49BF">
            <w:pPr>
              <w:spacing w:line="240" w:lineRule="auto"/>
              <w:rPr>
                <w:rFonts w:ascii="Arial" w:eastAsia="Times New Roman" w:hAnsi="Arial" w:cs="Arial"/>
                <w:b/>
                <w:color w:val="121DF6"/>
                <w:sz w:val="16"/>
                <w:szCs w:val="16"/>
              </w:rPr>
            </w:pPr>
            <w:hyperlink r:id="rId9" w:tgtFrame="_blank" w:history="1">
              <w:r w:rsidR="007C2258" w:rsidRPr="00B14FF3">
                <w:rPr>
                  <w:rFonts w:ascii="Tahoma" w:eastAsia="Times New Roman" w:hAnsi="Tahoma" w:cs="Tahoma"/>
                  <w:b/>
                  <w:color w:val="121DF6"/>
                  <w:sz w:val="16"/>
                  <w:szCs w:val="16"/>
                </w:rPr>
                <w:t>UTMA</w:t>
              </w:r>
            </w:hyperlink>
          </w:p>
        </w:tc>
        <w:tc>
          <w:tcPr>
            <w:tcW w:w="2146" w:type="dxa"/>
            <w:shd w:val="clear" w:color="auto" w:fill="EEEEEE"/>
            <w:vAlign w:val="center"/>
            <w:hideMark/>
          </w:tcPr>
          <w:p w14:paraId="76FF9098" w14:textId="77777777" w:rsidR="007C2258" w:rsidRPr="00B14FF3" w:rsidRDefault="00D33C6B" w:rsidP="009E49BF">
            <w:pPr>
              <w:spacing w:line="240" w:lineRule="auto"/>
              <w:rPr>
                <w:rFonts w:ascii="Arial" w:eastAsia="Times New Roman" w:hAnsi="Arial" w:cs="Arial"/>
                <w:b/>
                <w:color w:val="121DF6"/>
                <w:sz w:val="16"/>
                <w:szCs w:val="16"/>
              </w:rPr>
            </w:pPr>
            <w:hyperlink r:id="rId10" w:history="1">
              <w:r w:rsidR="007C2258" w:rsidRPr="00B14FF3">
                <w:rPr>
                  <w:rFonts w:ascii="Tahoma" w:eastAsia="Times New Roman" w:hAnsi="Tahoma" w:cs="Tahoma"/>
                  <w:b/>
                  <w:color w:val="121DF6"/>
                  <w:sz w:val="16"/>
                  <w:szCs w:val="16"/>
                </w:rPr>
                <w:t>Roth IRAs</w:t>
              </w:r>
            </w:hyperlink>
          </w:p>
        </w:tc>
        <w:tc>
          <w:tcPr>
            <w:tcW w:w="2056" w:type="dxa"/>
            <w:shd w:val="clear" w:color="auto" w:fill="EEEEEE"/>
          </w:tcPr>
          <w:p w14:paraId="455B07E9" w14:textId="77777777" w:rsidR="007C2258" w:rsidRPr="00B14FF3" w:rsidRDefault="007C2258" w:rsidP="00D138AA">
            <w:pPr>
              <w:spacing w:before="60" w:line="240" w:lineRule="auto"/>
              <w:rPr>
                <w:rFonts w:ascii="Tahoma" w:hAnsi="Tahoma" w:cs="Tahoma"/>
                <w:b/>
                <w:color w:val="121DF6"/>
                <w:sz w:val="16"/>
                <w:szCs w:val="16"/>
              </w:rPr>
            </w:pPr>
            <w:r w:rsidRPr="00B14FF3">
              <w:rPr>
                <w:rFonts w:ascii="Tahoma" w:hAnsi="Tahoma" w:cs="Tahoma"/>
                <w:b/>
                <w:color w:val="121DF6"/>
                <w:sz w:val="16"/>
                <w:szCs w:val="16"/>
              </w:rPr>
              <w:t>Traditional IRA’s</w:t>
            </w:r>
          </w:p>
        </w:tc>
        <w:tc>
          <w:tcPr>
            <w:tcW w:w="2049" w:type="dxa"/>
            <w:shd w:val="clear" w:color="auto" w:fill="EEEEEE"/>
            <w:vAlign w:val="center"/>
            <w:hideMark/>
          </w:tcPr>
          <w:p w14:paraId="504B56AD" w14:textId="77777777" w:rsidR="007C2258" w:rsidRPr="00B14FF3" w:rsidRDefault="00D33C6B" w:rsidP="009E49BF">
            <w:pPr>
              <w:spacing w:line="240" w:lineRule="auto"/>
              <w:rPr>
                <w:rFonts w:ascii="Arial" w:eastAsia="Times New Roman" w:hAnsi="Arial" w:cs="Arial"/>
                <w:b/>
                <w:color w:val="121DF6"/>
                <w:sz w:val="16"/>
                <w:szCs w:val="16"/>
              </w:rPr>
            </w:pPr>
            <w:hyperlink r:id="rId11" w:tgtFrame="_blank" w:history="1">
              <w:r w:rsidR="007C2258" w:rsidRPr="00B14FF3">
                <w:rPr>
                  <w:rFonts w:ascii="Tahoma" w:eastAsia="Times New Roman" w:hAnsi="Tahoma" w:cs="Tahoma"/>
                  <w:b/>
                  <w:color w:val="121DF6"/>
                  <w:sz w:val="16"/>
                  <w:szCs w:val="16"/>
                </w:rPr>
                <w:t>Series EE or I Bonds</w:t>
              </w:r>
            </w:hyperlink>
          </w:p>
        </w:tc>
      </w:tr>
      <w:tr w:rsidR="007C2258" w:rsidRPr="002E14E3" w14:paraId="2D926A8A" w14:textId="77777777" w:rsidTr="002E14E3">
        <w:trPr>
          <w:trHeight w:val="5509"/>
          <w:tblCellSpacing w:w="7" w:type="dxa"/>
        </w:trPr>
        <w:tc>
          <w:tcPr>
            <w:tcW w:w="1459" w:type="dxa"/>
            <w:shd w:val="clear" w:color="auto" w:fill="EEEEEE"/>
            <w:vAlign w:val="center"/>
            <w:hideMark/>
          </w:tcPr>
          <w:p w14:paraId="0E9036BD" w14:textId="77777777" w:rsidR="007C2258" w:rsidRPr="002E14E3" w:rsidRDefault="007C2258" w:rsidP="007C2258">
            <w:pPr>
              <w:spacing w:line="240" w:lineRule="auto"/>
              <w:rPr>
                <w:rFonts w:ascii="Arial" w:eastAsia="Times New Roman" w:hAnsi="Arial" w:cs="Arial"/>
                <w:color w:val="121DF6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color w:val="121DF6"/>
                <w:sz w:val="16"/>
                <w:szCs w:val="16"/>
              </w:rPr>
              <w:t>Tax Treatment</w:t>
            </w:r>
          </w:p>
        </w:tc>
        <w:tc>
          <w:tcPr>
            <w:tcW w:w="2082" w:type="dxa"/>
            <w:shd w:val="clear" w:color="auto" w:fill="FFFFFF"/>
            <w:hideMark/>
          </w:tcPr>
          <w:p w14:paraId="4D90BC90" w14:textId="77777777" w:rsidR="007C2258" w:rsidRPr="002E14E3" w:rsidRDefault="004741EB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Contributions: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br/>
            </w:r>
            <w:r w:rsidR="008504F5">
              <w:rPr>
                <w:rFonts w:ascii="Arial" w:eastAsia="Times New Roman" w:hAnsi="Arial" w:cs="Arial"/>
                <w:color w:val="555555"/>
                <w:sz w:val="16"/>
                <w:szCs w:val="16"/>
                <w:u w:val="single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  <w:u w:val="single"/>
              </w:rPr>
              <w:t>FED Tax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: After-tax contribution.  No current year deduction.  Earnings grow tax-deferred.</w:t>
            </w:r>
          </w:p>
          <w:p w14:paraId="449EBA3A" w14:textId="77777777" w:rsidR="007C2258" w:rsidRPr="002E14E3" w:rsidRDefault="007C2258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185B1BB7" w14:textId="21A848FC" w:rsidR="007C2258" w:rsidRPr="002E14E3" w:rsidRDefault="008504F5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u w:val="single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  <w:u w:val="single"/>
              </w:rPr>
              <w:t>STATE Tax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: Possible deduction f</w:t>
            </w:r>
            <w:r w:rsidR="0061601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or in-state plans (WI: up to 3,</w:t>
            </w:r>
            <w:r w:rsidR="0049683E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00 per bene, per year).  Earnings grow tax-deferred.</w:t>
            </w:r>
          </w:p>
          <w:p w14:paraId="7A42EA62" w14:textId="77777777" w:rsidR="004741EB" w:rsidRPr="002E14E3" w:rsidRDefault="004741EB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7426A690" w14:textId="57975208" w:rsidR="004741EB" w:rsidRPr="002E14E3" w:rsidRDefault="008504F5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u w:val="single"/>
              </w:rPr>
              <w:t>*</w:t>
            </w:r>
            <w:r w:rsidR="004741EB" w:rsidRPr="002E14E3">
              <w:rPr>
                <w:rFonts w:ascii="Arial" w:eastAsia="Times New Roman" w:hAnsi="Arial" w:cs="Arial"/>
                <w:color w:val="555555"/>
                <w:sz w:val="16"/>
                <w:szCs w:val="16"/>
                <w:u w:val="single"/>
              </w:rPr>
              <w:t>GIFT Tax: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4741EB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5-year averaged lump sum contribution of annual exclusion (i.e., $</w:t>
            </w:r>
            <w:r w:rsidR="008B6DD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7</w:t>
            </w:r>
            <w:r w:rsidR="0049683E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5</w:t>
            </w:r>
            <w:r w:rsidR="004741EB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k)</w:t>
            </w:r>
          </w:p>
          <w:p w14:paraId="09D0D0FC" w14:textId="60B436B7" w:rsidR="0049683E" w:rsidRPr="002E14E3" w:rsidRDefault="007C2258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br/>
            </w:r>
            <w:r w:rsidRPr="002E14E3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Withdrawals: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br/>
              <w:t>*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  <w:u w:val="single"/>
              </w:rPr>
              <w:t>FED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: Qualified withdrawals for higher education</w:t>
            </w:r>
            <w:r w:rsidR="0006652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and </w:t>
            </w:r>
            <w:r w:rsidR="0049683E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K-12</w:t>
            </w:r>
            <w:r w:rsidR="0006652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education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expenses are Tax-free. 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br/>
              <w:t>*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  <w:u w:val="single"/>
              </w:rPr>
              <w:t>STATE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: Tax-free for qualified high</w:t>
            </w:r>
            <w:r w:rsidR="00CD47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er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education expenses if one invests in one’s state 529 plan. A few states tax withdrawals if one invests in an out-of-state 529 plan.</w:t>
            </w:r>
          </w:p>
        </w:tc>
        <w:tc>
          <w:tcPr>
            <w:tcW w:w="1926" w:type="dxa"/>
            <w:shd w:val="clear" w:color="auto" w:fill="FFFFFF"/>
            <w:hideMark/>
          </w:tcPr>
          <w:p w14:paraId="2AEE11F7" w14:textId="77777777" w:rsidR="007C2258" w:rsidRPr="002E14E3" w:rsidRDefault="007C2258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Contributions: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br/>
            </w:r>
            <w:r w:rsidR="008504F5">
              <w:rPr>
                <w:rFonts w:ascii="Arial" w:eastAsia="Times New Roman" w:hAnsi="Arial" w:cs="Arial"/>
                <w:color w:val="555555"/>
                <w:sz w:val="16"/>
                <w:szCs w:val="16"/>
                <w:u w:val="single"/>
              </w:rPr>
              <w:t>*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  <w:u w:val="single"/>
              </w:rPr>
              <w:t>FED &amp; STATE Tax: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After-tax, No deduction.   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br/>
              <w:t>Earnings grow tax-deferred</w:t>
            </w:r>
            <w:r w:rsidR="004741EB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.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br/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br/>
            </w:r>
            <w:r w:rsidRPr="002E14E3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Withdrawals: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br/>
            </w:r>
            <w:r w:rsidR="008504F5">
              <w:rPr>
                <w:rFonts w:ascii="Arial" w:eastAsia="Times New Roman" w:hAnsi="Arial" w:cs="Arial"/>
                <w:color w:val="555555"/>
                <w:sz w:val="16"/>
                <w:szCs w:val="16"/>
                <w:u w:val="single"/>
              </w:rPr>
              <w:t>*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  <w:u w:val="single"/>
              </w:rPr>
              <w:t>FED &amp; STATE Tax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Qualified elementary, secondary and higher education expenses are free from income tax on earnings. </w:t>
            </w:r>
          </w:p>
        </w:tc>
        <w:tc>
          <w:tcPr>
            <w:tcW w:w="2660" w:type="dxa"/>
            <w:shd w:val="clear" w:color="auto" w:fill="FFFFFF"/>
            <w:hideMark/>
          </w:tcPr>
          <w:p w14:paraId="0A33EFF9" w14:textId="77777777" w:rsidR="007C2258" w:rsidRPr="002E14E3" w:rsidRDefault="007C2258" w:rsidP="007C225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2E14E3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Kiddie Tax Rules</w:t>
            </w:r>
          </w:p>
          <w:p w14:paraId="0589E2A0" w14:textId="77777777" w:rsidR="007C2258" w:rsidRPr="002E14E3" w:rsidRDefault="007C2258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Beneficiary under 18:</w:t>
            </w:r>
          </w:p>
          <w:p w14:paraId="15C7CC53" w14:textId="77777777" w:rsidR="007C2258" w:rsidRPr="002E14E3" w:rsidRDefault="00CD4790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61601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First $1,05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0 of unearned income is fre</w:t>
            </w:r>
            <w:r w:rsidR="0061601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e from Federal taxes, next $1,05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0 taxed at the child’s tax rate</w:t>
            </w:r>
          </w:p>
          <w:p w14:paraId="2CF64879" w14:textId="3E785A69" w:rsidR="007C2258" w:rsidRPr="002E14E3" w:rsidRDefault="00CD4790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61601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Unearned income above $2,</w:t>
            </w:r>
            <w:r w:rsidR="00B33B2D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00 is taxed marginal rate</w:t>
            </w:r>
            <w:r w:rsidR="0006652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s for Trust</w:t>
            </w:r>
            <w:r w:rsidR="007B4D1D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s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.</w:t>
            </w:r>
          </w:p>
          <w:p w14:paraId="7F4705E5" w14:textId="77777777" w:rsidR="007C2258" w:rsidRPr="002E14E3" w:rsidRDefault="007C2258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3EBA39A5" w14:textId="77777777" w:rsidR="00066520" w:rsidRDefault="007C2258" w:rsidP="007C2258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Beneficiary under 19 or Full-time students aged 19-23 whose earned income is &lt;1/2 of full support:</w:t>
            </w:r>
          </w:p>
          <w:p w14:paraId="62BA2E61" w14:textId="151AC312" w:rsidR="007C2258" w:rsidRPr="002E14E3" w:rsidRDefault="00CD4790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br/>
              <w:t>*</w:t>
            </w:r>
            <w:r w:rsidR="0061601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First $1,05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0 of unearned income is </w:t>
            </w:r>
            <w:r w:rsidR="00822B81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free 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from federal taxes, the balance is taxed at child’s rate</w:t>
            </w:r>
          </w:p>
          <w:p w14:paraId="1B9239C0" w14:textId="77777777" w:rsidR="007C2258" w:rsidRPr="002E14E3" w:rsidRDefault="007C2258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53BE2D8D" w14:textId="35043B6C" w:rsidR="007C2258" w:rsidRPr="002E14E3" w:rsidRDefault="00CD4790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May utilize $1</w:t>
            </w:r>
            <w:r w:rsidR="002643C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5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,000 annual gift exclusion.</w:t>
            </w:r>
          </w:p>
          <w:p w14:paraId="41E659E8" w14:textId="77777777" w:rsidR="00621DEB" w:rsidRPr="002E14E3" w:rsidRDefault="00621DEB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3D13F166" w14:textId="1EA40B1A" w:rsidR="00621DEB" w:rsidRPr="002E14E3" w:rsidRDefault="00CD4790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621DEB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Shifts some income fro</w:t>
            </w:r>
            <w:r w:rsidR="008E59DE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m producing asset to child ($2,</w:t>
            </w:r>
            <w:r w:rsidR="0090086C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</w:t>
            </w:r>
            <w:r w:rsidR="00621DEB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00)</w:t>
            </w:r>
          </w:p>
          <w:p w14:paraId="4120A0E9" w14:textId="77777777" w:rsidR="00621DEB" w:rsidRPr="002E14E3" w:rsidRDefault="00621DEB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1BC9CFBB" w14:textId="77777777" w:rsidR="00621DEB" w:rsidRPr="002E14E3" w:rsidRDefault="00CD4790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621DEB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Shifts potential future asset appreciation to child</w:t>
            </w:r>
            <w:r w:rsidR="00A55E50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to reduce estate size</w:t>
            </w:r>
          </w:p>
        </w:tc>
        <w:tc>
          <w:tcPr>
            <w:tcW w:w="2146" w:type="dxa"/>
            <w:shd w:val="clear" w:color="auto" w:fill="FFFFFF"/>
            <w:hideMark/>
          </w:tcPr>
          <w:p w14:paraId="2832FE8B" w14:textId="77777777" w:rsidR="007C2258" w:rsidRPr="002E14E3" w:rsidRDefault="007C2258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Contributions:</w:t>
            </w:r>
            <w:r w:rsidR="00CD47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CD47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br/>
              <w:t>*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After-tax, not deductible</w:t>
            </w:r>
          </w:p>
          <w:p w14:paraId="475BEA85" w14:textId="77777777" w:rsidR="007C2258" w:rsidRPr="002E14E3" w:rsidRDefault="00CD4790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Withdrawals subject to FIFO treatment. After-tax contributions are withdrawn tax-free at any time.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br/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br/>
            </w:r>
            <w:r w:rsidR="00114DEC" w:rsidRPr="002E14E3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Withdrawal</w:t>
            </w:r>
            <w:r w:rsidR="007C2258" w:rsidRPr="002E14E3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s: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br/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Qualified withdrawals of earnings are tax-free (Invested at least 5 years and older than 59.5 at time of W/D)</w:t>
            </w:r>
          </w:p>
          <w:p w14:paraId="2C40C9DB" w14:textId="77777777" w:rsidR="007C2258" w:rsidRPr="002E14E3" w:rsidRDefault="007C2258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</w:p>
          <w:p w14:paraId="4C8CB2B8" w14:textId="77777777" w:rsidR="007C2258" w:rsidRPr="002E14E3" w:rsidRDefault="007C2258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*Non-qualified withdrawals </w:t>
            </w:r>
            <w:r w:rsidR="00114DEC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are 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subject to 10% Fed surtax and the account owner’s </w:t>
            </w:r>
            <w:r w:rsidR="00114DEC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marginal 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tax rate</w:t>
            </w:r>
          </w:p>
          <w:p w14:paraId="4CB126B8" w14:textId="77777777" w:rsidR="007C2258" w:rsidRPr="002E14E3" w:rsidRDefault="007C2258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43272D92" w14:textId="77777777" w:rsidR="007C2258" w:rsidRPr="002E14E3" w:rsidRDefault="00CD4790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Exception for early withdrawal penalty (10% Fed) if used for qualified education purposes.   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br/>
            </w:r>
          </w:p>
        </w:tc>
        <w:tc>
          <w:tcPr>
            <w:tcW w:w="2056" w:type="dxa"/>
            <w:shd w:val="clear" w:color="auto" w:fill="FFFFFF"/>
          </w:tcPr>
          <w:p w14:paraId="510C13E1" w14:textId="77777777" w:rsidR="007C2258" w:rsidRPr="002E14E3" w:rsidRDefault="007C2258" w:rsidP="0018622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Contributions:</w:t>
            </w:r>
          </w:p>
          <w:p w14:paraId="57637069" w14:textId="6EFED0F2" w:rsidR="007C2258" w:rsidRPr="002E14E3" w:rsidRDefault="007C2258" w:rsidP="00186224">
            <w:pPr>
              <w:spacing w:line="240" w:lineRule="auto"/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 xml:space="preserve">*Possible tax deduction for active participants in employer plan. Phase-out </w:t>
            </w:r>
            <w:r w:rsidRPr="0049683E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>(S) $6</w:t>
            </w:r>
            <w:r w:rsidR="0090086C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>4</w:t>
            </w:r>
            <w:r w:rsidR="008E3D7B" w:rsidRPr="0049683E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>k-$</w:t>
            </w:r>
            <w:r w:rsidR="0090086C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>74</w:t>
            </w:r>
            <w:r w:rsidRPr="0049683E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>k (MFJ) $</w:t>
            </w:r>
            <w:r w:rsidR="0049683E" w:rsidRPr="0049683E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>1</w:t>
            </w:r>
            <w:r w:rsidR="0041130A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>03k</w:t>
            </w:r>
            <w:r w:rsidR="008E3D7B" w:rsidRPr="0049683E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>-$</w:t>
            </w:r>
            <w:r w:rsidR="0041130A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>123</w:t>
            </w:r>
            <w:r w:rsidRPr="0049683E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>k.</w:t>
            </w:r>
          </w:p>
          <w:p w14:paraId="1CDC4589" w14:textId="77777777" w:rsidR="007C2258" w:rsidRPr="002E14E3" w:rsidRDefault="008504F5" w:rsidP="00186224">
            <w:pPr>
              <w:spacing w:line="240" w:lineRule="auto"/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>Deduction available for non-participant</w:t>
            </w:r>
            <w:r w:rsidR="00114DEC" w:rsidRPr="002E14E3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>s</w:t>
            </w:r>
            <w:r w:rsidR="007C2258" w:rsidRPr="002E14E3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 xml:space="preserve"> in employer plan.</w:t>
            </w:r>
          </w:p>
          <w:p w14:paraId="496466FF" w14:textId="77777777" w:rsidR="007C2258" w:rsidRPr="002E14E3" w:rsidRDefault="007C2258" w:rsidP="00186224">
            <w:pPr>
              <w:spacing w:line="240" w:lineRule="auto"/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</w:pPr>
          </w:p>
          <w:p w14:paraId="2BD01064" w14:textId="77777777" w:rsidR="007C2258" w:rsidRPr="002E14E3" w:rsidRDefault="007C2258" w:rsidP="00186224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Withdrawals:</w:t>
            </w:r>
          </w:p>
          <w:p w14:paraId="6811984E" w14:textId="77777777" w:rsidR="007C2258" w:rsidRPr="002E14E3" w:rsidRDefault="008504F5" w:rsidP="00186224">
            <w:pPr>
              <w:spacing w:line="240" w:lineRule="auto"/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>Withdrawals of pre-tax contributions prior to age 59.5 are subject to 10% Fed surtax and ordinary income tax.</w:t>
            </w:r>
          </w:p>
          <w:p w14:paraId="060CC939" w14:textId="77777777" w:rsidR="007C2258" w:rsidRPr="002E14E3" w:rsidRDefault="007C2258" w:rsidP="00186224">
            <w:pPr>
              <w:spacing w:line="240" w:lineRule="auto"/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 xml:space="preserve"> </w:t>
            </w:r>
          </w:p>
          <w:p w14:paraId="33903DDD" w14:textId="77777777" w:rsidR="007C2258" w:rsidRPr="002E14E3" w:rsidRDefault="007C2258" w:rsidP="00186224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*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Exception for early withdrawal penalty (10% Fed) if used for qualified education purposes.  </w:t>
            </w:r>
          </w:p>
          <w:p w14:paraId="3FA21CEE" w14:textId="77777777" w:rsidR="007C2258" w:rsidRPr="002E14E3" w:rsidRDefault="007C2258" w:rsidP="00186224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493CA18A" w14:textId="77777777" w:rsidR="007C2258" w:rsidRPr="002E14E3" w:rsidRDefault="007C2258" w:rsidP="00186224">
            <w:pPr>
              <w:spacing w:line="240" w:lineRule="auto"/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*Withdrawals of pre-tax contributions </w:t>
            </w:r>
            <w:r w:rsidR="00114DEC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are 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subject to ordinary income tax at owner’s marginal tax rate.</w:t>
            </w:r>
          </w:p>
        </w:tc>
        <w:tc>
          <w:tcPr>
            <w:tcW w:w="2049" w:type="dxa"/>
            <w:shd w:val="clear" w:color="auto" w:fill="FFFFFF"/>
            <w:hideMark/>
          </w:tcPr>
          <w:p w14:paraId="360E051F" w14:textId="77777777" w:rsidR="00A55E50" w:rsidRPr="002E14E3" w:rsidRDefault="007C2258" w:rsidP="00A55E50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Earnings:</w:t>
            </w:r>
          </w:p>
          <w:p w14:paraId="52E755DF" w14:textId="77777777" w:rsidR="00A55E50" w:rsidRPr="002E14E3" w:rsidRDefault="008504F5" w:rsidP="00A55E50">
            <w:pPr>
              <w:spacing w:line="240" w:lineRule="auto"/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>*</w:t>
            </w:r>
            <w:r w:rsidR="00A55E50" w:rsidRPr="002E14E3">
              <w:rPr>
                <w:rFonts w:ascii="Arial" w:eastAsia="Times New Roman" w:hAnsi="Arial" w:cs="Arial"/>
                <w:bCs/>
                <w:color w:val="555555"/>
                <w:sz w:val="16"/>
                <w:szCs w:val="16"/>
              </w:rPr>
              <w:t>Tax deferred until bond redemption.</w:t>
            </w:r>
          </w:p>
          <w:p w14:paraId="0FD61D2A" w14:textId="77777777" w:rsidR="00A55E50" w:rsidRPr="002E14E3" w:rsidRDefault="00A55E50" w:rsidP="00A55E50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24297CDF" w14:textId="77777777" w:rsidR="007C2258" w:rsidRPr="002E14E3" w:rsidRDefault="00CD4790" w:rsidP="00A55E50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All or portion of interest paid to bond holder at bond redemption is excluded from gross income if used </w:t>
            </w:r>
            <w:r w:rsidR="00822B81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to 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pay for qualified educ. expenses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br/>
            </w:r>
          </w:p>
          <w:p w14:paraId="66A83BB8" w14:textId="77777777" w:rsidR="00A55E50" w:rsidRPr="002E14E3" w:rsidRDefault="00A55E50" w:rsidP="00A55E50">
            <w:pPr>
              <w:spacing w:line="240" w:lineRule="auto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Conditions for Educ:</w:t>
            </w:r>
          </w:p>
          <w:p w14:paraId="5F07F156" w14:textId="77777777" w:rsidR="00A55E50" w:rsidRPr="002E14E3" w:rsidRDefault="00A55E50" w:rsidP="00A55E50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*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Issued after</w:t>
            </w:r>
            <w:r w:rsidR="00822B81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1989</w:t>
            </w:r>
          </w:p>
          <w:p w14:paraId="4EC254DF" w14:textId="77777777" w:rsidR="00A55E50" w:rsidRPr="002E14E3" w:rsidRDefault="00A55E50" w:rsidP="00A55E50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*must be at least age 24 at purchase</w:t>
            </w:r>
          </w:p>
          <w:p w14:paraId="103EC6AE" w14:textId="77777777" w:rsidR="00C300EA" w:rsidRPr="002E14E3" w:rsidRDefault="00CD4790" w:rsidP="00A55E50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C300EA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Child cannot be co-owner</w:t>
            </w:r>
          </w:p>
          <w:p w14:paraId="5358C89E" w14:textId="77777777" w:rsidR="00C300EA" w:rsidRPr="002E14E3" w:rsidRDefault="00CD4790" w:rsidP="00A55E50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C300EA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For own educ, must be registered in own name</w:t>
            </w:r>
          </w:p>
          <w:p w14:paraId="10153336" w14:textId="77777777" w:rsidR="00C300EA" w:rsidRPr="002E14E3" w:rsidRDefault="00CD4790" w:rsidP="00A55E50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C300EA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If married must file jointly (MFJ)</w:t>
            </w:r>
          </w:p>
          <w:p w14:paraId="185A61FB" w14:textId="77777777" w:rsidR="00C300EA" w:rsidRPr="002E14E3" w:rsidRDefault="00C300EA" w:rsidP="00A55E50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*Income requirement (below)</w:t>
            </w:r>
          </w:p>
          <w:p w14:paraId="5E6D98F9" w14:textId="77777777" w:rsidR="00A55E50" w:rsidRPr="002E14E3" w:rsidRDefault="00C300EA" w:rsidP="00A55E50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*Educ. Institution must meet Fed. standards for assistance.</w:t>
            </w:r>
            <w:r w:rsidR="00A55E50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</w:p>
        </w:tc>
      </w:tr>
      <w:tr w:rsidR="007C2258" w:rsidRPr="002E14E3" w14:paraId="54D65D3C" w14:textId="77777777" w:rsidTr="008504F5">
        <w:trPr>
          <w:trHeight w:val="1045"/>
          <w:tblCellSpacing w:w="7" w:type="dxa"/>
        </w:trPr>
        <w:tc>
          <w:tcPr>
            <w:tcW w:w="1459" w:type="dxa"/>
            <w:shd w:val="clear" w:color="auto" w:fill="EEEEEE"/>
            <w:vAlign w:val="center"/>
            <w:hideMark/>
          </w:tcPr>
          <w:p w14:paraId="650E010E" w14:textId="77777777" w:rsidR="007C2258" w:rsidRPr="002E14E3" w:rsidRDefault="007C2258" w:rsidP="009E49BF">
            <w:pPr>
              <w:spacing w:line="240" w:lineRule="auto"/>
              <w:rPr>
                <w:rFonts w:ascii="Arial" w:eastAsia="Times New Roman" w:hAnsi="Arial" w:cs="Arial"/>
                <w:color w:val="121DF6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color w:val="121DF6"/>
                <w:sz w:val="16"/>
                <w:szCs w:val="16"/>
              </w:rPr>
              <w:t>Is the value of the account excluded from the owner’s taxable estate?</w:t>
            </w:r>
          </w:p>
        </w:tc>
        <w:tc>
          <w:tcPr>
            <w:tcW w:w="2082" w:type="dxa"/>
            <w:shd w:val="clear" w:color="auto" w:fill="F2F2F2" w:themeFill="background1" w:themeFillShade="F2"/>
            <w:vAlign w:val="center"/>
            <w:hideMark/>
          </w:tcPr>
          <w:p w14:paraId="654B5684" w14:textId="77777777" w:rsidR="007C2258" w:rsidRPr="002E14E3" w:rsidRDefault="008504F5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Yes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  <w:hideMark/>
          </w:tcPr>
          <w:p w14:paraId="1642FD64" w14:textId="77777777" w:rsidR="007C2258" w:rsidRPr="002E14E3" w:rsidRDefault="008504F5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Yes</w:t>
            </w:r>
          </w:p>
        </w:tc>
        <w:tc>
          <w:tcPr>
            <w:tcW w:w="2660" w:type="dxa"/>
            <w:shd w:val="clear" w:color="auto" w:fill="F2F2F2" w:themeFill="background1" w:themeFillShade="F2"/>
            <w:vAlign w:val="center"/>
            <w:hideMark/>
          </w:tcPr>
          <w:p w14:paraId="22FFAD56" w14:textId="77777777" w:rsidR="007C2258" w:rsidRPr="002E14E3" w:rsidRDefault="008504F5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No</w:t>
            </w:r>
            <w:r w:rsidR="004741EB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(Minor Owns Account)</w:t>
            </w:r>
          </w:p>
        </w:tc>
        <w:tc>
          <w:tcPr>
            <w:tcW w:w="2146" w:type="dxa"/>
            <w:shd w:val="clear" w:color="auto" w:fill="F2F2F2" w:themeFill="background1" w:themeFillShade="F2"/>
            <w:vAlign w:val="center"/>
            <w:hideMark/>
          </w:tcPr>
          <w:p w14:paraId="45A98513" w14:textId="77777777" w:rsidR="007C2258" w:rsidRPr="002E14E3" w:rsidRDefault="008504F5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Yes</w:t>
            </w:r>
          </w:p>
        </w:tc>
        <w:tc>
          <w:tcPr>
            <w:tcW w:w="2056" w:type="dxa"/>
            <w:shd w:val="clear" w:color="auto" w:fill="F2F2F2" w:themeFill="background1" w:themeFillShade="F2"/>
          </w:tcPr>
          <w:p w14:paraId="1362F2A9" w14:textId="77777777" w:rsidR="007C2258" w:rsidRPr="008504F5" w:rsidRDefault="007C2258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2"/>
                <w:szCs w:val="12"/>
              </w:rPr>
            </w:pPr>
          </w:p>
          <w:p w14:paraId="5603FF2E" w14:textId="77777777" w:rsidR="007C2258" w:rsidRPr="008504F5" w:rsidRDefault="007C2258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2"/>
                <w:szCs w:val="12"/>
              </w:rPr>
            </w:pPr>
          </w:p>
          <w:p w14:paraId="726173FB" w14:textId="77777777" w:rsidR="008504F5" w:rsidRPr="008504F5" w:rsidRDefault="008504F5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2"/>
                <w:szCs w:val="12"/>
              </w:rPr>
            </w:pPr>
          </w:p>
          <w:p w14:paraId="1FAB5015" w14:textId="77777777" w:rsidR="007C2258" w:rsidRPr="002E14E3" w:rsidRDefault="008504F5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No</w:t>
            </w:r>
          </w:p>
        </w:tc>
        <w:tc>
          <w:tcPr>
            <w:tcW w:w="2049" w:type="dxa"/>
            <w:shd w:val="clear" w:color="auto" w:fill="F2F2F2" w:themeFill="background1" w:themeFillShade="F2"/>
            <w:vAlign w:val="center"/>
            <w:hideMark/>
          </w:tcPr>
          <w:p w14:paraId="0A2BFEB0" w14:textId="77777777" w:rsidR="007C2258" w:rsidRPr="002E14E3" w:rsidRDefault="008504F5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No</w:t>
            </w:r>
          </w:p>
        </w:tc>
      </w:tr>
      <w:tr w:rsidR="007C2258" w:rsidRPr="002E14E3" w14:paraId="103A6764" w14:textId="77777777" w:rsidTr="008504F5">
        <w:trPr>
          <w:trHeight w:val="793"/>
          <w:tblCellSpacing w:w="7" w:type="dxa"/>
        </w:trPr>
        <w:tc>
          <w:tcPr>
            <w:tcW w:w="1459" w:type="dxa"/>
            <w:shd w:val="clear" w:color="auto" w:fill="EEEEEE"/>
            <w:vAlign w:val="center"/>
            <w:hideMark/>
          </w:tcPr>
          <w:p w14:paraId="3EC3A296" w14:textId="77777777" w:rsidR="007C2258" w:rsidRPr="002E14E3" w:rsidRDefault="007C2258" w:rsidP="009E49BF">
            <w:pPr>
              <w:spacing w:line="240" w:lineRule="auto"/>
              <w:rPr>
                <w:rFonts w:ascii="Arial" w:eastAsia="Times New Roman" w:hAnsi="Arial" w:cs="Arial"/>
                <w:color w:val="121DF6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color w:val="121DF6"/>
                <w:sz w:val="16"/>
                <w:szCs w:val="16"/>
              </w:rPr>
              <w:t>Maximum Investment</w:t>
            </w:r>
          </w:p>
        </w:tc>
        <w:tc>
          <w:tcPr>
            <w:tcW w:w="2082" w:type="dxa"/>
            <w:shd w:val="clear" w:color="auto" w:fill="FFFFFF"/>
            <w:hideMark/>
          </w:tcPr>
          <w:p w14:paraId="72411B85" w14:textId="7F00852D" w:rsidR="007C2258" w:rsidRPr="002E14E3" w:rsidRDefault="00CD4790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Varies by state. Wisconsin allows new contribution</w:t>
            </w:r>
            <w:r w:rsidR="008D6AE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s until balance reaches</w:t>
            </w:r>
            <w:r w:rsidR="002643C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$500,000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.</w:t>
            </w:r>
          </w:p>
        </w:tc>
        <w:tc>
          <w:tcPr>
            <w:tcW w:w="1926" w:type="dxa"/>
            <w:shd w:val="clear" w:color="auto" w:fill="FFFFFF"/>
            <w:hideMark/>
          </w:tcPr>
          <w:p w14:paraId="46C9C503" w14:textId="77777777" w:rsidR="008504F5" w:rsidRDefault="008504F5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4597DC21" w14:textId="77777777" w:rsidR="007C2258" w:rsidRPr="002E14E3" w:rsidRDefault="00CD4790" w:rsidP="00616015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Up to $2,000 per beneficiary, per year </w:t>
            </w:r>
          </w:p>
        </w:tc>
        <w:tc>
          <w:tcPr>
            <w:tcW w:w="2660" w:type="dxa"/>
            <w:shd w:val="clear" w:color="auto" w:fill="FFFFFF"/>
            <w:hideMark/>
          </w:tcPr>
          <w:p w14:paraId="6DE4C83C" w14:textId="77777777" w:rsidR="008504F5" w:rsidRDefault="008504F5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7CE2955D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No Limit</w:t>
            </w:r>
          </w:p>
        </w:tc>
        <w:tc>
          <w:tcPr>
            <w:tcW w:w="2146" w:type="dxa"/>
            <w:shd w:val="clear" w:color="auto" w:fill="FFFFFF"/>
            <w:vAlign w:val="center"/>
            <w:hideMark/>
          </w:tcPr>
          <w:p w14:paraId="1B88FC76" w14:textId="51CD7966" w:rsidR="007C2258" w:rsidRPr="002E14E3" w:rsidRDefault="00CD4790" w:rsidP="009F3453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$</w:t>
            </w:r>
            <w:r w:rsidR="0090086C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6,000 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per year ($</w:t>
            </w:r>
            <w:r w:rsidR="0090086C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7,0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00 for taxpayers age 50 and over)</w:t>
            </w:r>
          </w:p>
          <w:p w14:paraId="7149EF17" w14:textId="77777777" w:rsidR="007C2258" w:rsidRPr="002E14E3" w:rsidRDefault="007C2258" w:rsidP="009F3453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2056" w:type="dxa"/>
            <w:shd w:val="clear" w:color="auto" w:fill="FFFFFF"/>
          </w:tcPr>
          <w:p w14:paraId="3C663659" w14:textId="77777777" w:rsidR="008504F5" w:rsidRDefault="008504F5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383FCAE0" w14:textId="471E84E7" w:rsidR="007C2258" w:rsidRPr="002E14E3" w:rsidRDefault="00CD4790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$</w:t>
            </w:r>
            <w:r w:rsidR="0041130A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6,000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per year ($</w:t>
            </w:r>
            <w:r w:rsidR="0041130A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7,0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00 for taxpayers age 50 and over)</w:t>
            </w:r>
          </w:p>
          <w:p w14:paraId="0256C55A" w14:textId="77777777" w:rsidR="007C2258" w:rsidRPr="002E14E3" w:rsidRDefault="007C2258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2049" w:type="dxa"/>
            <w:shd w:val="clear" w:color="auto" w:fill="FFFFFF"/>
            <w:hideMark/>
          </w:tcPr>
          <w:p w14:paraId="55DDB63B" w14:textId="77777777" w:rsidR="008504F5" w:rsidRDefault="008504F5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35A4D98B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Up to $10,000 per year</w:t>
            </w:r>
          </w:p>
        </w:tc>
      </w:tr>
      <w:tr w:rsidR="007C2258" w:rsidRPr="002E14E3" w14:paraId="635054D5" w14:textId="77777777" w:rsidTr="00AC4271">
        <w:trPr>
          <w:trHeight w:val="1324"/>
          <w:tblCellSpacing w:w="7" w:type="dxa"/>
        </w:trPr>
        <w:tc>
          <w:tcPr>
            <w:tcW w:w="1459" w:type="dxa"/>
            <w:shd w:val="clear" w:color="auto" w:fill="EEEEEE"/>
            <w:vAlign w:val="center"/>
            <w:hideMark/>
          </w:tcPr>
          <w:p w14:paraId="2B9D1C27" w14:textId="77777777" w:rsidR="007C2258" w:rsidRPr="002E14E3" w:rsidRDefault="007C2258" w:rsidP="009E49BF">
            <w:pPr>
              <w:spacing w:line="240" w:lineRule="auto"/>
              <w:rPr>
                <w:rFonts w:ascii="Arial" w:eastAsia="Times New Roman" w:hAnsi="Arial" w:cs="Arial"/>
                <w:color w:val="121DF6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color w:val="121DF6"/>
                <w:sz w:val="16"/>
                <w:szCs w:val="16"/>
              </w:rPr>
              <w:t>Minimum Investment</w:t>
            </w:r>
          </w:p>
        </w:tc>
        <w:tc>
          <w:tcPr>
            <w:tcW w:w="2082" w:type="dxa"/>
            <w:shd w:val="clear" w:color="auto" w:fill="F2F2F2" w:themeFill="background1" w:themeFillShade="F2"/>
            <w:vAlign w:val="center"/>
            <w:hideMark/>
          </w:tcPr>
          <w:p w14:paraId="454DE02E" w14:textId="77777777" w:rsidR="007C2258" w:rsidRPr="002E14E3" w:rsidRDefault="00CD4790" w:rsidP="004741EB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Depends on plan, usually from $25/ month to $50/ month, with some </w:t>
            </w:r>
            <w:r w:rsidR="004741EB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fund companies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requiring autom</w:t>
            </w:r>
            <w:r w:rsidR="004741EB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atic contributions from bank acct.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or payroll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  <w:hideMark/>
          </w:tcPr>
          <w:p w14:paraId="579E20A6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Varies by provider/ investment</w:t>
            </w:r>
          </w:p>
        </w:tc>
        <w:tc>
          <w:tcPr>
            <w:tcW w:w="2660" w:type="dxa"/>
            <w:shd w:val="clear" w:color="auto" w:fill="F2F2F2" w:themeFill="background1" w:themeFillShade="F2"/>
            <w:vAlign w:val="center"/>
            <w:hideMark/>
          </w:tcPr>
          <w:p w14:paraId="68575545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Varies by provider/ investment</w:t>
            </w:r>
          </w:p>
        </w:tc>
        <w:tc>
          <w:tcPr>
            <w:tcW w:w="2146" w:type="dxa"/>
            <w:shd w:val="clear" w:color="auto" w:fill="F2F2F2" w:themeFill="background1" w:themeFillShade="F2"/>
            <w:vAlign w:val="center"/>
            <w:hideMark/>
          </w:tcPr>
          <w:p w14:paraId="796F3784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Varies by provider/ investment</w:t>
            </w:r>
          </w:p>
        </w:tc>
        <w:tc>
          <w:tcPr>
            <w:tcW w:w="2056" w:type="dxa"/>
            <w:shd w:val="clear" w:color="auto" w:fill="F2F2F2" w:themeFill="background1" w:themeFillShade="F2"/>
          </w:tcPr>
          <w:p w14:paraId="3AB1C208" w14:textId="77777777" w:rsidR="007C2258" w:rsidRPr="00CD4790" w:rsidRDefault="007C2258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2"/>
                <w:szCs w:val="12"/>
              </w:rPr>
            </w:pPr>
          </w:p>
          <w:p w14:paraId="506D8924" w14:textId="77777777" w:rsidR="007C2258" w:rsidRPr="00CD4790" w:rsidRDefault="007C2258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2"/>
                <w:szCs w:val="12"/>
              </w:rPr>
            </w:pPr>
          </w:p>
          <w:p w14:paraId="15331AEC" w14:textId="77777777" w:rsidR="00CD4790" w:rsidRPr="00CD4790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2"/>
                <w:szCs w:val="12"/>
              </w:rPr>
            </w:pPr>
          </w:p>
          <w:p w14:paraId="649C9857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Varies by provider/ investment</w:t>
            </w:r>
          </w:p>
        </w:tc>
        <w:tc>
          <w:tcPr>
            <w:tcW w:w="2049" w:type="dxa"/>
            <w:shd w:val="clear" w:color="auto" w:fill="F2F2F2" w:themeFill="background1" w:themeFillShade="F2"/>
            <w:vAlign w:val="center"/>
            <w:hideMark/>
          </w:tcPr>
          <w:p w14:paraId="668D1BD1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$25 per year</w:t>
            </w:r>
          </w:p>
          <w:p w14:paraId="4E711570" w14:textId="77777777" w:rsidR="007C2258" w:rsidRPr="002E14E3" w:rsidRDefault="007C2258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7C2258" w:rsidRPr="00B14FF3" w14:paraId="71DA2007" w14:textId="77777777" w:rsidTr="002E14E3">
        <w:trPr>
          <w:trHeight w:val="388"/>
          <w:tblCellSpacing w:w="7" w:type="dxa"/>
        </w:trPr>
        <w:tc>
          <w:tcPr>
            <w:tcW w:w="1459" w:type="dxa"/>
            <w:shd w:val="clear" w:color="auto" w:fill="E7E6E6" w:themeFill="background2"/>
            <w:vAlign w:val="center"/>
          </w:tcPr>
          <w:p w14:paraId="1BD365D8" w14:textId="77777777" w:rsidR="007C2258" w:rsidRPr="00B14FF3" w:rsidRDefault="002E14E3" w:rsidP="009E49BF">
            <w:pPr>
              <w:spacing w:line="240" w:lineRule="auto"/>
              <w:rPr>
                <w:rFonts w:ascii="Arial" w:eastAsia="Times New Roman" w:hAnsi="Arial" w:cs="Arial"/>
                <w:b/>
                <w:color w:val="121DF6"/>
                <w:sz w:val="16"/>
                <w:szCs w:val="16"/>
              </w:rPr>
            </w:pPr>
            <w:r w:rsidRPr="00B14FF3">
              <w:rPr>
                <w:rFonts w:ascii="Arial" w:hAnsi="Arial" w:cs="Arial"/>
                <w:b/>
                <w:color w:val="121DF6"/>
                <w:sz w:val="16"/>
                <w:szCs w:val="16"/>
              </w:rPr>
              <w:lastRenderedPageBreak/>
              <w:t>Page 2:</w:t>
            </w:r>
          </w:p>
        </w:tc>
        <w:tc>
          <w:tcPr>
            <w:tcW w:w="2082" w:type="dxa"/>
            <w:shd w:val="clear" w:color="auto" w:fill="E7E6E6" w:themeFill="background2"/>
            <w:vAlign w:val="center"/>
          </w:tcPr>
          <w:p w14:paraId="17F6C99E" w14:textId="77777777" w:rsidR="007C2258" w:rsidRPr="00B14FF3" w:rsidRDefault="00D33C6B" w:rsidP="009E49BF">
            <w:pPr>
              <w:spacing w:line="240" w:lineRule="auto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hyperlink r:id="rId12" w:tgtFrame="_blank" w:history="1">
              <w:r w:rsidR="002E14E3" w:rsidRPr="00B14FF3">
                <w:rPr>
                  <w:rFonts w:ascii="Tahoma" w:eastAsia="Times New Roman" w:hAnsi="Tahoma" w:cs="Tahoma"/>
                  <w:b/>
                  <w:color w:val="121DF6"/>
                  <w:sz w:val="16"/>
                  <w:szCs w:val="16"/>
                </w:rPr>
                <w:t>529 Saving Plans</w:t>
              </w:r>
            </w:hyperlink>
          </w:p>
        </w:tc>
        <w:tc>
          <w:tcPr>
            <w:tcW w:w="1926" w:type="dxa"/>
            <w:shd w:val="clear" w:color="auto" w:fill="E7E6E6" w:themeFill="background2"/>
            <w:vAlign w:val="center"/>
          </w:tcPr>
          <w:p w14:paraId="71A16413" w14:textId="77777777" w:rsidR="007C2258" w:rsidRPr="00B14FF3" w:rsidRDefault="00D33C6B" w:rsidP="009E49BF">
            <w:pPr>
              <w:spacing w:line="240" w:lineRule="auto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hyperlink r:id="rId13" w:tgtFrame="_blank" w:history="1">
              <w:r w:rsidR="002E14E3" w:rsidRPr="00B14FF3">
                <w:rPr>
                  <w:rFonts w:ascii="Tahoma" w:eastAsia="Times New Roman" w:hAnsi="Tahoma" w:cs="Tahoma"/>
                  <w:b/>
                  <w:color w:val="121DF6"/>
                  <w:sz w:val="16"/>
                  <w:szCs w:val="16"/>
                </w:rPr>
                <w:t>Coverdell ESA</w:t>
              </w:r>
            </w:hyperlink>
          </w:p>
        </w:tc>
        <w:tc>
          <w:tcPr>
            <w:tcW w:w="2660" w:type="dxa"/>
            <w:shd w:val="clear" w:color="auto" w:fill="E7E6E6" w:themeFill="background2"/>
            <w:vAlign w:val="center"/>
          </w:tcPr>
          <w:p w14:paraId="57891726" w14:textId="77777777" w:rsidR="007C2258" w:rsidRPr="00B14FF3" w:rsidRDefault="00D33C6B" w:rsidP="009E49BF">
            <w:pPr>
              <w:spacing w:line="240" w:lineRule="auto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hyperlink r:id="rId14" w:tgtFrame="_blank" w:history="1">
              <w:r w:rsidR="002E14E3" w:rsidRPr="00B14FF3">
                <w:rPr>
                  <w:rFonts w:ascii="Tahoma" w:eastAsia="Times New Roman" w:hAnsi="Tahoma" w:cs="Tahoma"/>
                  <w:b/>
                  <w:color w:val="121DF6"/>
                  <w:sz w:val="16"/>
                  <w:szCs w:val="16"/>
                </w:rPr>
                <w:t>UTMA</w:t>
              </w:r>
            </w:hyperlink>
          </w:p>
        </w:tc>
        <w:tc>
          <w:tcPr>
            <w:tcW w:w="2146" w:type="dxa"/>
            <w:shd w:val="clear" w:color="auto" w:fill="E7E6E6" w:themeFill="background2"/>
            <w:vAlign w:val="center"/>
          </w:tcPr>
          <w:p w14:paraId="4149FC86" w14:textId="77777777" w:rsidR="007C2258" w:rsidRPr="00B14FF3" w:rsidRDefault="00D33C6B" w:rsidP="009E49BF">
            <w:pPr>
              <w:spacing w:line="240" w:lineRule="auto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hyperlink r:id="rId15" w:history="1">
              <w:r w:rsidR="002E14E3" w:rsidRPr="00B14FF3">
                <w:rPr>
                  <w:rFonts w:ascii="Tahoma" w:eastAsia="Times New Roman" w:hAnsi="Tahoma" w:cs="Tahoma"/>
                  <w:b/>
                  <w:color w:val="121DF6"/>
                  <w:sz w:val="16"/>
                  <w:szCs w:val="16"/>
                </w:rPr>
                <w:t>Roth IRAs</w:t>
              </w:r>
            </w:hyperlink>
          </w:p>
        </w:tc>
        <w:tc>
          <w:tcPr>
            <w:tcW w:w="2056" w:type="dxa"/>
            <w:shd w:val="clear" w:color="auto" w:fill="E7E6E6" w:themeFill="background2"/>
          </w:tcPr>
          <w:p w14:paraId="4E6973D9" w14:textId="77777777" w:rsidR="007C2258" w:rsidRPr="00B14FF3" w:rsidRDefault="002E14E3" w:rsidP="00D76299">
            <w:pPr>
              <w:spacing w:before="80" w:line="240" w:lineRule="auto"/>
              <w:jc w:val="both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B14FF3">
              <w:rPr>
                <w:rFonts w:ascii="Tahoma" w:hAnsi="Tahoma" w:cs="Tahoma"/>
                <w:b/>
                <w:color w:val="121DF6"/>
                <w:sz w:val="16"/>
                <w:szCs w:val="16"/>
              </w:rPr>
              <w:t>Traditional IRA’s</w:t>
            </w:r>
          </w:p>
        </w:tc>
        <w:tc>
          <w:tcPr>
            <w:tcW w:w="2049" w:type="dxa"/>
            <w:shd w:val="clear" w:color="auto" w:fill="E7E6E6" w:themeFill="background2"/>
            <w:vAlign w:val="center"/>
          </w:tcPr>
          <w:p w14:paraId="3E8E3D80" w14:textId="77777777" w:rsidR="007C2258" w:rsidRPr="00B14FF3" w:rsidRDefault="00D33C6B" w:rsidP="002E14E3">
            <w:pPr>
              <w:spacing w:line="240" w:lineRule="auto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hyperlink r:id="rId16" w:tgtFrame="_blank" w:history="1">
              <w:r w:rsidR="002E14E3" w:rsidRPr="00B14FF3">
                <w:rPr>
                  <w:rFonts w:ascii="Tahoma" w:eastAsia="Times New Roman" w:hAnsi="Tahoma" w:cs="Tahoma"/>
                  <w:b/>
                  <w:color w:val="121DF6"/>
                  <w:sz w:val="16"/>
                  <w:szCs w:val="16"/>
                </w:rPr>
                <w:t>Series EE or I Bonds</w:t>
              </w:r>
            </w:hyperlink>
          </w:p>
        </w:tc>
      </w:tr>
      <w:tr w:rsidR="007C2258" w:rsidRPr="002E14E3" w14:paraId="51659925" w14:textId="77777777" w:rsidTr="00CD4790">
        <w:trPr>
          <w:trHeight w:val="577"/>
          <w:tblCellSpacing w:w="7" w:type="dxa"/>
        </w:trPr>
        <w:tc>
          <w:tcPr>
            <w:tcW w:w="1459" w:type="dxa"/>
            <w:shd w:val="clear" w:color="auto" w:fill="E7E6E6" w:themeFill="background2"/>
            <w:vAlign w:val="center"/>
          </w:tcPr>
          <w:p w14:paraId="580BA627" w14:textId="77777777" w:rsidR="007C2258" w:rsidRPr="002E14E3" w:rsidRDefault="007C2258" w:rsidP="002E14E3">
            <w:pPr>
              <w:spacing w:line="240" w:lineRule="auto"/>
              <w:rPr>
                <w:rFonts w:ascii="Arial" w:eastAsia="Times New Roman" w:hAnsi="Arial" w:cs="Arial"/>
                <w:color w:val="121DF6"/>
                <w:sz w:val="16"/>
                <w:szCs w:val="16"/>
              </w:rPr>
            </w:pPr>
            <w:r w:rsidRPr="002E14E3">
              <w:rPr>
                <w:sz w:val="16"/>
                <w:szCs w:val="16"/>
              </w:rPr>
              <w:br w:type="page"/>
            </w:r>
            <w:r w:rsidR="002E14E3" w:rsidRPr="002E14E3">
              <w:rPr>
                <w:rFonts w:ascii="Arial" w:eastAsia="Times New Roman" w:hAnsi="Arial" w:cs="Arial"/>
                <w:color w:val="121DF6"/>
                <w:sz w:val="16"/>
                <w:szCs w:val="16"/>
                <w:shd w:val="clear" w:color="auto" w:fill="E7E6E6" w:themeFill="background2"/>
              </w:rPr>
              <w:t>Contribution Deadline per year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51F1F883" w14:textId="77777777" w:rsidR="007C2258" w:rsidRPr="002E14E3" w:rsidRDefault="00CD4790" w:rsidP="00D50386">
            <w:pPr>
              <w:spacing w:line="240" w:lineRule="auto"/>
              <w:rPr>
                <w:rFonts w:ascii="Arial" w:eastAsia="Times New Roman" w:hAnsi="Arial" w:cs="Arial"/>
                <w:color w:val="121DF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2E14E3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12/31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AD7AB55" w14:textId="77777777" w:rsidR="007C2258" w:rsidRPr="002E14E3" w:rsidRDefault="00CD4790" w:rsidP="00D50386">
            <w:pPr>
              <w:spacing w:line="240" w:lineRule="auto"/>
              <w:rPr>
                <w:rFonts w:ascii="Arial" w:eastAsia="Times New Roman" w:hAnsi="Arial" w:cs="Arial"/>
                <w:color w:val="121DF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2E14E3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Due date of contributor’s tax return, without extensions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ED4AB61" w14:textId="77777777" w:rsidR="007C2258" w:rsidRPr="002E14E3" w:rsidRDefault="00CD4790" w:rsidP="00D50386">
            <w:pPr>
              <w:spacing w:line="240" w:lineRule="auto"/>
              <w:rPr>
                <w:rFonts w:ascii="Arial" w:eastAsia="Times New Roman" w:hAnsi="Arial" w:cs="Arial"/>
                <w:color w:val="121DF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2E14E3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12/31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4FBF775D" w14:textId="77777777" w:rsidR="007C2258" w:rsidRPr="002E14E3" w:rsidRDefault="00CD4790" w:rsidP="00D50386">
            <w:pPr>
              <w:spacing w:line="240" w:lineRule="auto"/>
              <w:rPr>
                <w:rFonts w:ascii="Arial" w:eastAsia="Times New Roman" w:hAnsi="Arial" w:cs="Arial"/>
                <w:color w:val="121DF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2E14E3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Due date of contributor’s tax return, without extensions</w:t>
            </w:r>
          </w:p>
        </w:tc>
        <w:tc>
          <w:tcPr>
            <w:tcW w:w="2056" w:type="dxa"/>
            <w:shd w:val="clear" w:color="auto" w:fill="auto"/>
          </w:tcPr>
          <w:p w14:paraId="7F52FD6D" w14:textId="77777777" w:rsidR="007C2258" w:rsidRPr="002E14E3" w:rsidRDefault="00CD4790" w:rsidP="00D50386">
            <w:pPr>
              <w:spacing w:line="240" w:lineRule="auto"/>
              <w:rPr>
                <w:rFonts w:ascii="Tahoma" w:hAnsi="Tahoma" w:cs="Tahoma"/>
                <w:color w:val="121DF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2E14E3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Due date of contributor’s tax return, without extensions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2DD14C37" w14:textId="77777777" w:rsidR="007C2258" w:rsidRPr="002E14E3" w:rsidRDefault="00CD4790" w:rsidP="00D50386">
            <w:pPr>
              <w:spacing w:line="240" w:lineRule="auto"/>
              <w:rPr>
                <w:rFonts w:ascii="Arial" w:eastAsia="Times New Roman" w:hAnsi="Arial" w:cs="Arial"/>
                <w:color w:val="121DF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2E14E3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12/31</w:t>
            </w:r>
          </w:p>
        </w:tc>
      </w:tr>
      <w:tr w:rsidR="007C2258" w:rsidRPr="002E14E3" w14:paraId="7E216E86" w14:textId="77777777" w:rsidTr="00AC4271">
        <w:trPr>
          <w:tblCellSpacing w:w="7" w:type="dxa"/>
        </w:trPr>
        <w:tc>
          <w:tcPr>
            <w:tcW w:w="1459" w:type="dxa"/>
            <w:shd w:val="clear" w:color="auto" w:fill="E7E6E6" w:themeFill="background2"/>
            <w:vAlign w:val="center"/>
            <w:hideMark/>
          </w:tcPr>
          <w:p w14:paraId="41B0FF00" w14:textId="77777777" w:rsidR="007C2258" w:rsidRPr="002E14E3" w:rsidRDefault="007C2258" w:rsidP="009E49BF">
            <w:pPr>
              <w:spacing w:line="240" w:lineRule="auto"/>
              <w:rPr>
                <w:rFonts w:ascii="Arial" w:eastAsia="Times New Roman" w:hAnsi="Arial" w:cs="Arial"/>
                <w:color w:val="121DF6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color w:val="121DF6"/>
                <w:sz w:val="16"/>
                <w:szCs w:val="16"/>
              </w:rPr>
              <w:t>Qualified Higher Education Expenses</w:t>
            </w:r>
          </w:p>
        </w:tc>
        <w:tc>
          <w:tcPr>
            <w:tcW w:w="2082" w:type="dxa"/>
            <w:shd w:val="clear" w:color="auto" w:fill="F2F2F2" w:themeFill="background1" w:themeFillShade="F2"/>
            <w:vAlign w:val="center"/>
            <w:hideMark/>
          </w:tcPr>
          <w:p w14:paraId="3E3385AE" w14:textId="77777777" w:rsidR="007C2258" w:rsidRPr="002E14E3" w:rsidRDefault="007C2258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529 Savings plans: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Tuition, room &amp; board, books, supplies, equipment and expenses for special needs services 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br/>
            </w:r>
            <w:r w:rsidRPr="002E14E3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529 Prepaid plans: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Tuition &amp; fees only  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  <w:hideMark/>
          </w:tcPr>
          <w:p w14:paraId="599C4684" w14:textId="77777777" w:rsidR="004741EB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Tuition, room &amp; board, books, supplies, &amp; equipment.</w:t>
            </w:r>
          </w:p>
          <w:p w14:paraId="5B4A1BC8" w14:textId="77777777" w:rsidR="004741EB" w:rsidRPr="002E14E3" w:rsidRDefault="004741EB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45189BBA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Elementary &amp; secondary education expenses also qualify  </w:t>
            </w:r>
          </w:p>
        </w:tc>
        <w:tc>
          <w:tcPr>
            <w:tcW w:w="2660" w:type="dxa"/>
            <w:shd w:val="clear" w:color="auto" w:fill="F2F2F2" w:themeFill="background1" w:themeFillShade="F2"/>
            <w:vAlign w:val="center"/>
            <w:hideMark/>
          </w:tcPr>
          <w:p w14:paraId="5C1B00C4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Any Expense</w:t>
            </w:r>
          </w:p>
        </w:tc>
        <w:tc>
          <w:tcPr>
            <w:tcW w:w="2146" w:type="dxa"/>
            <w:shd w:val="clear" w:color="auto" w:fill="F2F2F2" w:themeFill="background1" w:themeFillShade="F2"/>
            <w:vAlign w:val="center"/>
            <w:hideMark/>
          </w:tcPr>
          <w:p w14:paraId="12F94303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Tuition, room &amp; board, books, supplies, &amp; equipment and expenses for special needs services</w:t>
            </w:r>
          </w:p>
        </w:tc>
        <w:tc>
          <w:tcPr>
            <w:tcW w:w="2056" w:type="dxa"/>
            <w:shd w:val="clear" w:color="auto" w:fill="F2F2F2" w:themeFill="background1" w:themeFillShade="F2"/>
          </w:tcPr>
          <w:p w14:paraId="7F8C7B77" w14:textId="77777777" w:rsidR="007C2258" w:rsidRPr="00CD4790" w:rsidRDefault="007C2258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2"/>
                <w:szCs w:val="12"/>
              </w:rPr>
            </w:pPr>
          </w:p>
          <w:p w14:paraId="4B6978F8" w14:textId="77777777" w:rsidR="00CD4790" w:rsidRPr="00CD4790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2"/>
                <w:szCs w:val="12"/>
              </w:rPr>
            </w:pPr>
          </w:p>
          <w:p w14:paraId="28529BEF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Tuition, room &amp; board, books, supplies, &amp; equipment and expenses for special needs services</w:t>
            </w:r>
          </w:p>
        </w:tc>
        <w:tc>
          <w:tcPr>
            <w:tcW w:w="2049" w:type="dxa"/>
            <w:shd w:val="clear" w:color="auto" w:fill="F2F2F2" w:themeFill="background1" w:themeFillShade="F2"/>
            <w:vAlign w:val="center"/>
            <w:hideMark/>
          </w:tcPr>
          <w:p w14:paraId="0434F180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8504F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T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uition &amp; fees only</w:t>
            </w:r>
          </w:p>
        </w:tc>
      </w:tr>
      <w:tr w:rsidR="007C2258" w:rsidRPr="002E14E3" w14:paraId="03ED0758" w14:textId="77777777" w:rsidTr="00CD4790">
        <w:trPr>
          <w:trHeight w:val="1090"/>
          <w:tblCellSpacing w:w="7" w:type="dxa"/>
        </w:trPr>
        <w:tc>
          <w:tcPr>
            <w:tcW w:w="1459" w:type="dxa"/>
            <w:shd w:val="clear" w:color="auto" w:fill="E7E6E6" w:themeFill="background2"/>
            <w:vAlign w:val="center"/>
            <w:hideMark/>
          </w:tcPr>
          <w:p w14:paraId="6399FF44" w14:textId="77777777" w:rsidR="007C2258" w:rsidRPr="002E14E3" w:rsidRDefault="007C2258" w:rsidP="009E49BF">
            <w:pPr>
              <w:spacing w:line="240" w:lineRule="auto"/>
              <w:rPr>
                <w:rFonts w:ascii="Arial" w:eastAsia="Times New Roman" w:hAnsi="Arial" w:cs="Arial"/>
                <w:color w:val="121DF6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color w:val="121DF6"/>
                <w:sz w:val="16"/>
                <w:szCs w:val="16"/>
              </w:rPr>
              <w:t>Financial Aid Treatment</w:t>
            </w:r>
          </w:p>
        </w:tc>
        <w:tc>
          <w:tcPr>
            <w:tcW w:w="2082" w:type="dxa"/>
            <w:shd w:val="clear" w:color="auto" w:fill="FFFFFF" w:themeFill="background1"/>
            <w:vAlign w:val="center"/>
            <w:hideMark/>
          </w:tcPr>
          <w:p w14:paraId="25E2C5D2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Parent’s Assets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  <w:hideMark/>
          </w:tcPr>
          <w:p w14:paraId="07CBD545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Parent’s Assets</w:t>
            </w:r>
          </w:p>
        </w:tc>
        <w:tc>
          <w:tcPr>
            <w:tcW w:w="2660" w:type="dxa"/>
            <w:shd w:val="clear" w:color="auto" w:fill="FFFFFF" w:themeFill="background1"/>
            <w:vAlign w:val="center"/>
            <w:hideMark/>
          </w:tcPr>
          <w:p w14:paraId="31C17296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Beneficiary’s Assets</w:t>
            </w:r>
          </w:p>
        </w:tc>
        <w:tc>
          <w:tcPr>
            <w:tcW w:w="2146" w:type="dxa"/>
            <w:shd w:val="clear" w:color="auto" w:fill="FFFFFF" w:themeFill="background1"/>
            <w:vAlign w:val="center"/>
            <w:hideMark/>
          </w:tcPr>
          <w:p w14:paraId="6555B902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Not counted as asset; withdrawals of principal and interest counted as financial aid income</w:t>
            </w:r>
          </w:p>
        </w:tc>
        <w:tc>
          <w:tcPr>
            <w:tcW w:w="2056" w:type="dxa"/>
            <w:shd w:val="clear" w:color="auto" w:fill="FFFFFF" w:themeFill="background1"/>
          </w:tcPr>
          <w:p w14:paraId="24A77DBC" w14:textId="77777777" w:rsidR="007C2258" w:rsidRPr="002E14E3" w:rsidRDefault="007C2258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488F6060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Not counted as asset; withdrawals of principal and interest counted as financial aid income</w:t>
            </w:r>
          </w:p>
        </w:tc>
        <w:tc>
          <w:tcPr>
            <w:tcW w:w="2049" w:type="dxa"/>
            <w:shd w:val="clear" w:color="auto" w:fill="FFFFFF" w:themeFill="background1"/>
            <w:vAlign w:val="center"/>
            <w:hideMark/>
          </w:tcPr>
          <w:p w14:paraId="3F711CDD" w14:textId="77777777" w:rsidR="00CD4790" w:rsidRDefault="00CD4790" w:rsidP="00CD4790">
            <w:pPr>
              <w:spacing w:after="8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Parent’s assets if education is for child.</w:t>
            </w:r>
          </w:p>
          <w:p w14:paraId="716D29E4" w14:textId="77777777" w:rsidR="007C2258" w:rsidRPr="002E14E3" w:rsidRDefault="00CD4790" w:rsidP="00CD4790">
            <w:pPr>
              <w:spacing w:after="8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*S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tudent’s assets if education expenses are for oneself.</w:t>
            </w:r>
          </w:p>
        </w:tc>
      </w:tr>
      <w:tr w:rsidR="007C2258" w:rsidRPr="002E14E3" w14:paraId="3333E736" w14:textId="77777777" w:rsidTr="00AC4271">
        <w:trPr>
          <w:tblCellSpacing w:w="7" w:type="dxa"/>
        </w:trPr>
        <w:tc>
          <w:tcPr>
            <w:tcW w:w="1459" w:type="dxa"/>
            <w:shd w:val="clear" w:color="auto" w:fill="E7E6E6" w:themeFill="background2"/>
            <w:vAlign w:val="center"/>
            <w:hideMark/>
          </w:tcPr>
          <w:p w14:paraId="373F63A8" w14:textId="77777777" w:rsidR="007C2258" w:rsidRPr="002E14E3" w:rsidRDefault="007C2258" w:rsidP="009E49BF">
            <w:pPr>
              <w:spacing w:line="240" w:lineRule="auto"/>
              <w:rPr>
                <w:rFonts w:ascii="Arial" w:eastAsia="Times New Roman" w:hAnsi="Arial" w:cs="Arial"/>
                <w:color w:val="121DF6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color w:val="121DF6"/>
                <w:sz w:val="16"/>
                <w:szCs w:val="16"/>
              </w:rPr>
              <w:t>Income Restriction</w:t>
            </w:r>
          </w:p>
        </w:tc>
        <w:tc>
          <w:tcPr>
            <w:tcW w:w="2082" w:type="dxa"/>
            <w:shd w:val="clear" w:color="auto" w:fill="F2F2F2" w:themeFill="background1" w:themeFillShade="F2"/>
            <w:vAlign w:val="center"/>
            <w:hideMark/>
          </w:tcPr>
          <w:p w14:paraId="15DEEFB6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None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  <w:hideMark/>
          </w:tcPr>
          <w:p w14:paraId="249EDE21" w14:textId="77777777" w:rsidR="007C2258" w:rsidRPr="002E14E3" w:rsidRDefault="00CD4790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Yes. Phase-Outs: </w:t>
            </w:r>
          </w:p>
          <w:p w14:paraId="7DBC56A0" w14:textId="77777777" w:rsidR="007C2258" w:rsidRPr="002E14E3" w:rsidRDefault="007C2258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(S) $95k-110K</w:t>
            </w:r>
          </w:p>
          <w:p w14:paraId="3D5432A2" w14:textId="77777777" w:rsidR="007C2258" w:rsidRPr="002E14E3" w:rsidRDefault="007C2258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(MFJ)$190k-220K</w:t>
            </w:r>
          </w:p>
        </w:tc>
        <w:tc>
          <w:tcPr>
            <w:tcW w:w="2660" w:type="dxa"/>
            <w:shd w:val="clear" w:color="auto" w:fill="F2F2F2" w:themeFill="background1" w:themeFillShade="F2"/>
            <w:vAlign w:val="center"/>
            <w:hideMark/>
          </w:tcPr>
          <w:p w14:paraId="62274A17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None</w:t>
            </w:r>
          </w:p>
        </w:tc>
        <w:tc>
          <w:tcPr>
            <w:tcW w:w="2146" w:type="dxa"/>
            <w:shd w:val="clear" w:color="auto" w:fill="F2F2F2" w:themeFill="background1" w:themeFillShade="F2"/>
            <w:vAlign w:val="center"/>
            <w:hideMark/>
          </w:tcPr>
          <w:p w14:paraId="18523B03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Yes, Phase-outs: </w:t>
            </w:r>
          </w:p>
          <w:p w14:paraId="25AE8FB9" w14:textId="0340CC7F" w:rsidR="007C2258" w:rsidRPr="002E14E3" w:rsidRDefault="007C2258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(S) $1</w:t>
            </w:r>
            <w:r w:rsidR="002643C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</w:t>
            </w:r>
            <w:r w:rsidR="0090086C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k-1</w:t>
            </w:r>
            <w:r w:rsidR="0043641E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3</w:t>
            </w:r>
            <w:r w:rsidR="0090086C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7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k;</w:t>
            </w:r>
          </w:p>
          <w:p w14:paraId="34CC7770" w14:textId="463FF518" w:rsidR="007C2258" w:rsidRPr="002E14E3" w:rsidRDefault="008E59DE" w:rsidP="0043641E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(MFJ) $1</w:t>
            </w:r>
            <w:r w:rsidR="0090086C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93</w:t>
            </w:r>
            <w:r w:rsidR="0043641E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k-</w:t>
            </w:r>
            <w:r w:rsidR="0090086C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203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k</w:t>
            </w:r>
          </w:p>
        </w:tc>
        <w:tc>
          <w:tcPr>
            <w:tcW w:w="2056" w:type="dxa"/>
            <w:shd w:val="clear" w:color="auto" w:fill="F2F2F2" w:themeFill="background1" w:themeFillShade="F2"/>
          </w:tcPr>
          <w:p w14:paraId="230EC540" w14:textId="77777777" w:rsidR="007C2258" w:rsidRPr="002E14E3" w:rsidRDefault="007C2258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08B1FF9F" w14:textId="77777777" w:rsidR="007C2258" w:rsidRPr="002E14E3" w:rsidRDefault="007C2258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2FA8224C" w14:textId="77777777" w:rsidR="007C2258" w:rsidRPr="002E14E3" w:rsidRDefault="00CD4790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None (but may not be tax deductible)</w:t>
            </w:r>
          </w:p>
        </w:tc>
        <w:tc>
          <w:tcPr>
            <w:tcW w:w="2049" w:type="dxa"/>
            <w:shd w:val="clear" w:color="auto" w:fill="F2F2F2" w:themeFill="background1" w:themeFillShade="F2"/>
            <w:vAlign w:val="center"/>
            <w:hideMark/>
          </w:tcPr>
          <w:p w14:paraId="6038858A" w14:textId="77777777" w:rsidR="007C2258" w:rsidRPr="002E14E3" w:rsidRDefault="007C2258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*No restriction on purchases. </w:t>
            </w:r>
          </w:p>
          <w:p w14:paraId="7367E75B" w14:textId="77777777" w:rsidR="00C300EA" w:rsidRPr="002E14E3" w:rsidRDefault="00C300EA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*P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hase-outs for educ: </w:t>
            </w:r>
          </w:p>
          <w:p w14:paraId="7423814C" w14:textId="1032ADB5" w:rsidR="007C2258" w:rsidRPr="002E14E3" w:rsidRDefault="00C300EA" w:rsidP="007C2258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(S) </w:t>
            </w:r>
            <w:r w:rsidR="008E59DE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$</w:t>
            </w:r>
            <w:r w:rsidR="0041130A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81,100</w:t>
            </w:r>
            <w:r w:rsidR="00941CE6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- $</w:t>
            </w:r>
            <w:r w:rsidR="0041130A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96,100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; </w:t>
            </w:r>
          </w:p>
          <w:p w14:paraId="1124288A" w14:textId="246CF605" w:rsidR="007C2258" w:rsidRPr="002E14E3" w:rsidRDefault="007C2258" w:rsidP="00E04E7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(MFJ) $</w:t>
            </w:r>
            <w:r w:rsidR="0041130A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121,600</w:t>
            </w:r>
            <w:r w:rsidR="00941CE6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-</w:t>
            </w:r>
            <w:r w:rsidR="00707196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941CE6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$</w:t>
            </w:r>
            <w:r w:rsidR="0041130A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151,600</w:t>
            </w:r>
          </w:p>
        </w:tc>
      </w:tr>
      <w:tr w:rsidR="007C2258" w:rsidRPr="002E14E3" w14:paraId="29DD4BA9" w14:textId="77777777" w:rsidTr="00CD4790">
        <w:trPr>
          <w:trHeight w:val="3340"/>
          <w:tblCellSpacing w:w="7" w:type="dxa"/>
        </w:trPr>
        <w:tc>
          <w:tcPr>
            <w:tcW w:w="1459" w:type="dxa"/>
            <w:shd w:val="clear" w:color="auto" w:fill="E7E6E6" w:themeFill="background2"/>
            <w:vAlign w:val="center"/>
            <w:hideMark/>
          </w:tcPr>
          <w:p w14:paraId="6939DB7B" w14:textId="77777777" w:rsidR="007C2258" w:rsidRPr="002E14E3" w:rsidRDefault="007C2258" w:rsidP="009E49BF">
            <w:pPr>
              <w:spacing w:line="240" w:lineRule="auto"/>
              <w:rPr>
                <w:rFonts w:ascii="Arial" w:eastAsia="Times New Roman" w:hAnsi="Arial" w:cs="Arial"/>
                <w:color w:val="121DF6"/>
                <w:sz w:val="16"/>
                <w:szCs w:val="16"/>
              </w:rPr>
            </w:pPr>
            <w:r w:rsidRPr="002E14E3">
              <w:rPr>
                <w:rFonts w:ascii="Arial" w:eastAsia="Times New Roman" w:hAnsi="Arial" w:cs="Arial"/>
                <w:color w:val="121DF6"/>
                <w:sz w:val="16"/>
                <w:szCs w:val="16"/>
              </w:rPr>
              <w:t>Flexibility and Characteristic</w:t>
            </w:r>
            <w:r w:rsidR="004741EB" w:rsidRPr="002E14E3">
              <w:rPr>
                <w:rFonts w:ascii="Arial" w:eastAsia="Times New Roman" w:hAnsi="Arial" w:cs="Arial"/>
                <w:color w:val="121DF6"/>
                <w:sz w:val="16"/>
                <w:szCs w:val="16"/>
              </w:rPr>
              <w:t>s</w:t>
            </w:r>
          </w:p>
        </w:tc>
        <w:tc>
          <w:tcPr>
            <w:tcW w:w="2082" w:type="dxa"/>
            <w:shd w:val="clear" w:color="auto" w:fill="FFFFFF" w:themeFill="background1"/>
            <w:vAlign w:val="center"/>
            <w:hideMark/>
          </w:tcPr>
          <w:p w14:paraId="6BA5E7DB" w14:textId="77777777" w:rsidR="007C2258" w:rsidRPr="002E14E3" w:rsidRDefault="00CD4790" w:rsidP="00CD4790">
            <w:pPr>
              <w:spacing w:after="8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Earnings on non-qualified withdrawals may be subject to federal income tax at the parents’ rate, plus a 10% federal penalty tax, plus any state and local income taxes where applicable.</w:t>
            </w:r>
          </w:p>
          <w:p w14:paraId="56BCA528" w14:textId="77777777" w:rsidR="00CD4790" w:rsidRDefault="00CD4790" w:rsidP="00CD4790">
            <w:pPr>
              <w:spacing w:after="8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Beneficiary can be changed to related party annually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.</w:t>
            </w:r>
          </w:p>
          <w:p w14:paraId="1E18DF40" w14:textId="77777777" w:rsidR="00CD4790" w:rsidRDefault="00CD4790" w:rsidP="00CD4790">
            <w:pPr>
              <w:spacing w:after="8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Investment choices can be change</w:t>
            </w:r>
            <w:r w:rsidR="00E165DF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d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annually</w:t>
            </w:r>
          </w:p>
          <w:p w14:paraId="3B396D6C" w14:textId="77777777" w:rsidR="007C2258" w:rsidRDefault="00CD4790" w:rsidP="00CD4790">
            <w:pPr>
              <w:spacing w:after="8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Rollovers allowed once annually</w:t>
            </w:r>
          </w:p>
          <w:p w14:paraId="2527938A" w14:textId="77777777" w:rsidR="00CD4790" w:rsidRPr="002E14E3" w:rsidRDefault="00CD4790" w:rsidP="00CD4790">
            <w:pPr>
              <w:spacing w:after="8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*Investment options limited to those offered by plan</w:t>
            </w:r>
          </w:p>
        </w:tc>
        <w:tc>
          <w:tcPr>
            <w:tcW w:w="1926" w:type="dxa"/>
            <w:shd w:val="clear" w:color="auto" w:fill="FFFFFF" w:themeFill="background1"/>
            <w:vAlign w:val="center"/>
            <w:hideMark/>
          </w:tcPr>
          <w:p w14:paraId="7A53DDA9" w14:textId="77777777" w:rsidR="00CD4790" w:rsidRDefault="00CD4790" w:rsidP="00CD4790">
            <w:pPr>
              <w:spacing w:after="8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Earnings on non-qualified withdrawals may be subject to federal income tax at the parents’ rate, plus a 10% federal penalty tax, plus any state and local income taxes where applicable.</w:t>
            </w:r>
          </w:p>
          <w:p w14:paraId="7E6B9600" w14:textId="77777777" w:rsidR="00CD4790" w:rsidRDefault="00CD4790" w:rsidP="00CD4790">
            <w:pPr>
              <w:spacing w:after="8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Beneficiaries may be changed to related party at any time.</w:t>
            </w:r>
          </w:p>
          <w:p w14:paraId="006676B7" w14:textId="77777777" w:rsidR="00CD4790" w:rsidRDefault="00CD4790" w:rsidP="00CD4790">
            <w:pPr>
              <w:spacing w:after="8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No limit on investment changes</w:t>
            </w:r>
          </w:p>
          <w:p w14:paraId="75E4EF91" w14:textId="77777777" w:rsidR="007C2258" w:rsidRPr="002E14E3" w:rsidRDefault="00CD4790" w:rsidP="00CD4790">
            <w:pPr>
              <w:spacing w:after="8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Rollovers allowed once annually</w:t>
            </w:r>
          </w:p>
        </w:tc>
        <w:tc>
          <w:tcPr>
            <w:tcW w:w="2660" w:type="dxa"/>
            <w:shd w:val="clear" w:color="auto" w:fill="FFFFFF" w:themeFill="background1"/>
            <w:vAlign w:val="center"/>
            <w:hideMark/>
          </w:tcPr>
          <w:p w14:paraId="6AC78A81" w14:textId="77777777" w:rsidR="00CD4790" w:rsidRDefault="00CD4790" w:rsidP="00CD4790">
            <w:pPr>
              <w:spacing w:after="8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A custodial gift is irrevocable</w:t>
            </w:r>
          </w:p>
          <w:p w14:paraId="0419769F" w14:textId="77777777" w:rsidR="00CD4790" w:rsidRDefault="00CD4790" w:rsidP="00CD4790">
            <w:pPr>
              <w:spacing w:after="8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Custodian controls distributions FBO the minor until age of majority (WI age21). Beneficiary can withdraw assets when he/she reaches legal age. </w:t>
            </w:r>
          </w:p>
          <w:p w14:paraId="5FE859B2" w14:textId="77777777" w:rsidR="00CD4790" w:rsidRDefault="00CD4790" w:rsidP="00CD4790">
            <w:pPr>
              <w:spacing w:after="8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Funds held in UTMA can be withdrawn for any purpose not considered a legal obligation of support.</w:t>
            </w:r>
          </w:p>
          <w:p w14:paraId="6FC5FABF" w14:textId="77777777" w:rsidR="007C2258" w:rsidRDefault="00CD4790" w:rsidP="00CD4790">
            <w:pPr>
              <w:spacing w:after="8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Investments may be changed at any time but may be a taxable event.</w:t>
            </w:r>
          </w:p>
          <w:p w14:paraId="19315F9C" w14:textId="77777777" w:rsidR="00CD4790" w:rsidRDefault="00CD4790" w:rsidP="00CD4790">
            <w:pPr>
              <w:spacing w:after="8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*Beneficiary cannot be changed</w:t>
            </w:r>
          </w:p>
          <w:p w14:paraId="162D9EA5" w14:textId="77777777" w:rsidR="00CD4790" w:rsidRPr="002E14E3" w:rsidRDefault="00CD4790" w:rsidP="00CD4790">
            <w:pPr>
              <w:spacing w:after="8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*Greater Financial Aid impact</w:t>
            </w:r>
          </w:p>
        </w:tc>
        <w:tc>
          <w:tcPr>
            <w:tcW w:w="2146" w:type="dxa"/>
            <w:shd w:val="clear" w:color="auto" w:fill="FFFFFF" w:themeFill="background1"/>
            <w:vAlign w:val="center"/>
            <w:hideMark/>
          </w:tcPr>
          <w:p w14:paraId="6F2BD18B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Earnings on non-qualified withdrawals may be subject to federal income tax at the parents’ rate, plus a 10% federal penalty tax, plus any state and local income taxes where applicable</w:t>
            </w:r>
          </w:p>
          <w:p w14:paraId="7F12A4C6" w14:textId="77777777" w:rsidR="007C2258" w:rsidRPr="002E14E3" w:rsidRDefault="007C2258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094833B3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Investment changes can be made at any time and are not subject to current taxation</w:t>
            </w:r>
          </w:p>
        </w:tc>
        <w:tc>
          <w:tcPr>
            <w:tcW w:w="2056" w:type="dxa"/>
            <w:shd w:val="clear" w:color="auto" w:fill="FFFFFF" w:themeFill="background1"/>
          </w:tcPr>
          <w:p w14:paraId="31F3FF91" w14:textId="77777777" w:rsidR="007C2258" w:rsidRPr="002E14E3" w:rsidRDefault="007C2258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78A03796" w14:textId="77777777" w:rsidR="007C2258" w:rsidRPr="002E14E3" w:rsidRDefault="007C2258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3581747F" w14:textId="77777777" w:rsidR="007C2258" w:rsidRPr="002E14E3" w:rsidRDefault="007C2258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425F017B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Earnings on non-qualified withdrawals may be subject to federal income tax at the parents’ rate, plus a 10% federal penalty tax, plus any state and local income taxes where applicable</w:t>
            </w:r>
          </w:p>
          <w:p w14:paraId="51C8A140" w14:textId="77777777" w:rsidR="007C2258" w:rsidRPr="002E14E3" w:rsidRDefault="007C2258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18DEFEBA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Investment changes can be made at any time and are not subject to current taxation</w:t>
            </w:r>
          </w:p>
        </w:tc>
        <w:tc>
          <w:tcPr>
            <w:tcW w:w="2049" w:type="dxa"/>
            <w:shd w:val="clear" w:color="auto" w:fill="FFFFFF" w:themeFill="background1"/>
            <w:vAlign w:val="center"/>
            <w:hideMark/>
          </w:tcPr>
          <w:p w14:paraId="3DDEDD51" w14:textId="77777777" w:rsidR="007C2258" w:rsidRPr="002E14E3" w:rsidRDefault="00CD4790" w:rsidP="009E49BF">
            <w:pPr>
              <w:spacing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*</w:t>
            </w:r>
            <w:r w:rsidR="007C2258" w:rsidRPr="002E14E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Can be redeemed after 6 months. A 3 month earnings penalty applies </w:t>
            </w:r>
          </w:p>
        </w:tc>
      </w:tr>
    </w:tbl>
    <w:p w14:paraId="3FE67E36" w14:textId="232EED8B" w:rsidR="009E49BF" w:rsidRDefault="009E49BF" w:rsidP="00CE316B">
      <w:pPr>
        <w:rPr>
          <w:sz w:val="16"/>
          <w:szCs w:val="16"/>
        </w:rPr>
      </w:pPr>
      <w:bookmarkStart w:id="0" w:name="_GoBack"/>
      <w:bookmarkEnd w:id="0"/>
    </w:p>
    <w:p w14:paraId="5A5BB43A" w14:textId="77777777" w:rsidR="00CE316B" w:rsidRDefault="00CE316B" w:rsidP="00CE316B">
      <w:pPr>
        <w:rPr>
          <w:sz w:val="16"/>
          <w:szCs w:val="16"/>
        </w:rPr>
      </w:pPr>
    </w:p>
    <w:sectPr w:rsidR="00CE316B" w:rsidSect="00AC4271">
      <w:footerReference w:type="default" r:id="rId17"/>
      <w:pgSz w:w="15840" w:h="12240" w:orient="landscape"/>
      <w:pgMar w:top="432" w:right="0" w:bottom="0" w:left="1296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D3AF8" w14:textId="77777777" w:rsidR="00D33C6B" w:rsidRDefault="00D33C6B" w:rsidP="00E4635C">
      <w:pPr>
        <w:spacing w:line="240" w:lineRule="auto"/>
      </w:pPr>
      <w:r>
        <w:separator/>
      </w:r>
    </w:p>
  </w:endnote>
  <w:endnote w:type="continuationSeparator" w:id="0">
    <w:p w14:paraId="5B1813CA" w14:textId="77777777" w:rsidR="00D33C6B" w:rsidRDefault="00D33C6B" w:rsidP="00E46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95DEA" w14:textId="77777777" w:rsidR="00603CC2" w:rsidRDefault="00E4635C" w:rsidP="00603CC2">
    <w:pPr>
      <w:shd w:val="clear" w:color="auto" w:fill="FFFFFF"/>
      <w:spacing w:line="240" w:lineRule="auto"/>
      <w:jc w:val="center"/>
      <w:rPr>
        <w:rFonts w:ascii="Arial" w:eastAsia="Times New Roman" w:hAnsi="Arial" w:cs="Arial"/>
        <w:color w:val="000000"/>
        <w:sz w:val="16"/>
        <w:szCs w:val="16"/>
      </w:rPr>
    </w:pPr>
    <w:r w:rsidRPr="002E14E3">
      <w:rPr>
        <w:rFonts w:ascii="Arial" w:eastAsia="Times New Roman" w:hAnsi="Arial" w:cs="Arial"/>
        <w:color w:val="000000"/>
        <w:sz w:val="16"/>
        <w:szCs w:val="16"/>
      </w:rPr>
      <w:t xml:space="preserve">Securities and advisory services offered through </w:t>
    </w:r>
    <w:r w:rsidR="008B6DD0">
      <w:rPr>
        <w:rFonts w:ascii="Arial" w:eastAsia="Times New Roman" w:hAnsi="Arial" w:cs="Arial"/>
        <w:color w:val="000000"/>
        <w:sz w:val="16"/>
        <w:szCs w:val="16"/>
      </w:rPr>
      <w:t>Woodbury Financial Services</w:t>
    </w:r>
    <w:r w:rsidRPr="002E14E3">
      <w:rPr>
        <w:rFonts w:ascii="Arial" w:eastAsia="Times New Roman" w:hAnsi="Arial" w:cs="Arial"/>
        <w:color w:val="000000"/>
        <w:sz w:val="16"/>
        <w:szCs w:val="16"/>
      </w:rPr>
      <w:t>, Inc. (</w:t>
    </w:r>
    <w:r w:rsidR="008B6DD0">
      <w:rPr>
        <w:rFonts w:ascii="Arial" w:eastAsia="Times New Roman" w:hAnsi="Arial" w:cs="Arial"/>
        <w:color w:val="000000"/>
        <w:sz w:val="16"/>
        <w:szCs w:val="16"/>
      </w:rPr>
      <w:t>WFS</w:t>
    </w:r>
    <w:r w:rsidRPr="002E14E3">
      <w:rPr>
        <w:rFonts w:ascii="Arial" w:eastAsia="Times New Roman" w:hAnsi="Arial" w:cs="Arial"/>
        <w:color w:val="000000"/>
        <w:sz w:val="16"/>
        <w:szCs w:val="16"/>
      </w:rPr>
      <w:t xml:space="preserve">), member FINRA/SIPC and a Registered Investment Advisor. </w:t>
    </w:r>
    <w:r w:rsidR="008B6DD0">
      <w:rPr>
        <w:rFonts w:ascii="Arial" w:eastAsia="Times New Roman" w:hAnsi="Arial" w:cs="Arial"/>
        <w:color w:val="000000"/>
        <w:sz w:val="16"/>
        <w:szCs w:val="16"/>
      </w:rPr>
      <w:t>WFS</w:t>
    </w:r>
    <w:r w:rsidRPr="002E14E3">
      <w:rPr>
        <w:rFonts w:ascii="Arial" w:eastAsia="Times New Roman" w:hAnsi="Arial" w:cs="Arial"/>
        <w:color w:val="000000"/>
        <w:sz w:val="16"/>
        <w:szCs w:val="16"/>
      </w:rPr>
      <w:t>, </w:t>
    </w:r>
  </w:p>
  <w:p w14:paraId="31D162D7" w14:textId="528D927B" w:rsidR="00E4635C" w:rsidRDefault="00E4635C" w:rsidP="00603CC2">
    <w:pPr>
      <w:shd w:val="clear" w:color="auto" w:fill="FFFFFF"/>
      <w:spacing w:line="240" w:lineRule="auto"/>
      <w:jc w:val="center"/>
      <w:rPr>
        <w:rFonts w:ascii="Arial" w:eastAsia="Times New Roman" w:hAnsi="Arial" w:cs="Arial"/>
        <w:color w:val="000000"/>
        <w:sz w:val="16"/>
        <w:szCs w:val="16"/>
      </w:rPr>
    </w:pPr>
    <w:r w:rsidRPr="002E14E3">
      <w:rPr>
        <w:rFonts w:ascii="Arial" w:eastAsia="Times New Roman" w:hAnsi="Arial" w:cs="Arial"/>
        <w:color w:val="000000"/>
        <w:sz w:val="16"/>
        <w:szCs w:val="16"/>
      </w:rPr>
      <w:t>Schroeder Financial Services, LLC or Bank</w:t>
    </w:r>
    <w:r w:rsidR="00603CC2">
      <w:rPr>
        <w:rFonts w:ascii="Arial" w:eastAsia="Times New Roman" w:hAnsi="Arial" w:cs="Arial"/>
        <w:color w:val="000000"/>
        <w:sz w:val="16"/>
        <w:szCs w:val="16"/>
      </w:rPr>
      <w:t xml:space="preserve"> First</w:t>
    </w:r>
    <w:r w:rsidRPr="002E14E3">
      <w:rPr>
        <w:rFonts w:ascii="Arial" w:eastAsia="Times New Roman" w:hAnsi="Arial" w:cs="Arial"/>
        <w:color w:val="000000"/>
        <w:sz w:val="16"/>
        <w:szCs w:val="16"/>
      </w:rPr>
      <w:t>.</w:t>
    </w:r>
    <w:r w:rsidR="0005445E" w:rsidRPr="002E14E3">
      <w:rPr>
        <w:rFonts w:ascii="Arial" w:eastAsia="Times New Roman" w:hAnsi="Arial" w:cs="Arial"/>
        <w:color w:val="000000"/>
        <w:sz w:val="16"/>
        <w:szCs w:val="16"/>
      </w:rPr>
      <w:t xml:space="preserve"> </w:t>
    </w:r>
    <w:r w:rsidR="005B2B98">
      <w:rPr>
        <w:rFonts w:ascii="Arial" w:eastAsia="Times New Roman" w:hAnsi="Arial" w:cs="Arial"/>
        <w:color w:val="000000"/>
        <w:sz w:val="16"/>
        <w:szCs w:val="16"/>
      </w:rPr>
      <w:t xml:space="preserve"> </w:t>
    </w:r>
    <w:r w:rsidR="008B6DD0">
      <w:rPr>
        <w:rFonts w:ascii="Arial" w:eastAsia="Times New Roman" w:hAnsi="Arial" w:cs="Arial"/>
        <w:color w:val="000000"/>
        <w:sz w:val="16"/>
        <w:szCs w:val="16"/>
      </w:rPr>
      <w:t>WFS</w:t>
    </w:r>
    <w:r w:rsidR="0005445E" w:rsidRPr="002E14E3">
      <w:rPr>
        <w:rFonts w:ascii="Arial" w:eastAsia="Times New Roman" w:hAnsi="Arial" w:cs="Arial"/>
        <w:color w:val="000000"/>
        <w:sz w:val="16"/>
        <w:szCs w:val="16"/>
      </w:rPr>
      <w:t xml:space="preserve"> does not provide tax or legal advice.  Securities and advisory services offered through </w:t>
    </w:r>
    <w:r w:rsidR="008B6DD0">
      <w:rPr>
        <w:rFonts w:ascii="Arial" w:eastAsia="Times New Roman" w:hAnsi="Arial" w:cs="Arial"/>
        <w:color w:val="000000"/>
        <w:sz w:val="16"/>
        <w:szCs w:val="16"/>
      </w:rPr>
      <w:t>WFS</w:t>
    </w:r>
    <w:r w:rsidR="0005445E" w:rsidRPr="002E14E3">
      <w:rPr>
        <w:rFonts w:ascii="Arial" w:eastAsia="Times New Roman" w:hAnsi="Arial" w:cs="Arial"/>
        <w:color w:val="000000"/>
        <w:sz w:val="16"/>
        <w:szCs w:val="16"/>
      </w:rPr>
      <w:t xml:space="preserve"> are:</w:t>
    </w:r>
  </w:p>
  <w:tbl>
    <w:tblPr>
      <w:tblW w:w="9895" w:type="dxa"/>
      <w:jc w:val="center"/>
      <w:tblCellSpacing w:w="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135"/>
      <w:gridCol w:w="2885"/>
      <w:gridCol w:w="2875"/>
    </w:tblGrid>
    <w:tr w:rsidR="002E14E3" w:rsidRPr="002E14E3" w14:paraId="3AEBC61D" w14:textId="77777777" w:rsidTr="00D76299">
      <w:trPr>
        <w:trHeight w:val="221"/>
        <w:tblCellSpacing w:w="7" w:type="dxa"/>
        <w:jc w:val="center"/>
      </w:trPr>
      <w:tc>
        <w:tcPr>
          <w:tcW w:w="4114" w:type="dxa"/>
          <w:vAlign w:val="center"/>
          <w:hideMark/>
        </w:tcPr>
        <w:p w14:paraId="48C993D1" w14:textId="77777777" w:rsidR="00E4635C" w:rsidRPr="00E4635C" w:rsidRDefault="00E4635C" w:rsidP="00E4635C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E4635C">
            <w:rPr>
              <w:rFonts w:ascii="Times New Roman" w:eastAsia="Times New Roman" w:hAnsi="Times New Roman" w:cs="Times New Roman"/>
              <w:sz w:val="16"/>
              <w:szCs w:val="16"/>
            </w:rPr>
            <w:t>NOT INSURED BY FDIC OR ANY FEDERAL AGENCY</w:t>
          </w:r>
        </w:p>
      </w:tc>
      <w:tc>
        <w:tcPr>
          <w:tcW w:w="2871" w:type="dxa"/>
          <w:vAlign w:val="center"/>
          <w:hideMark/>
        </w:tcPr>
        <w:p w14:paraId="78389E3A" w14:textId="77777777" w:rsidR="00E4635C" w:rsidRPr="00E4635C" w:rsidRDefault="00E4635C" w:rsidP="00E4635C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E4635C">
            <w:rPr>
              <w:rFonts w:ascii="Times New Roman" w:eastAsia="Times New Roman" w:hAnsi="Times New Roman" w:cs="Times New Roman"/>
              <w:sz w:val="16"/>
              <w:szCs w:val="16"/>
            </w:rPr>
            <w:t>May Lose Value</w:t>
          </w:r>
        </w:p>
      </w:tc>
      <w:tc>
        <w:tcPr>
          <w:tcW w:w="2854" w:type="dxa"/>
          <w:vAlign w:val="center"/>
          <w:hideMark/>
        </w:tcPr>
        <w:p w14:paraId="2F1B0717" w14:textId="77777777" w:rsidR="00E4635C" w:rsidRPr="00E4635C" w:rsidRDefault="00E4635C" w:rsidP="00E4635C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E4635C">
            <w:rPr>
              <w:rFonts w:ascii="Times New Roman" w:eastAsia="Times New Roman" w:hAnsi="Times New Roman" w:cs="Times New Roman"/>
              <w:sz w:val="16"/>
              <w:szCs w:val="16"/>
            </w:rPr>
            <w:t>No Bank Guarantee</w:t>
          </w:r>
        </w:p>
      </w:tc>
    </w:tr>
  </w:tbl>
  <w:p w14:paraId="021C0854" w14:textId="77777777" w:rsidR="00E4635C" w:rsidRPr="00E4635C" w:rsidRDefault="00E4635C" w:rsidP="002E14E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0629A" w14:textId="77777777" w:rsidR="00D33C6B" w:rsidRDefault="00D33C6B" w:rsidP="00E4635C">
      <w:pPr>
        <w:spacing w:line="240" w:lineRule="auto"/>
      </w:pPr>
      <w:r>
        <w:separator/>
      </w:r>
    </w:p>
  </w:footnote>
  <w:footnote w:type="continuationSeparator" w:id="0">
    <w:p w14:paraId="167F6FBD" w14:textId="77777777" w:rsidR="00D33C6B" w:rsidRDefault="00D33C6B" w:rsidP="00E463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5F9E"/>
    <w:multiLevelType w:val="hybridMultilevel"/>
    <w:tmpl w:val="D7267854"/>
    <w:lvl w:ilvl="0" w:tplc="A18E2FBE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9BF"/>
    <w:rsid w:val="00003180"/>
    <w:rsid w:val="0000451D"/>
    <w:rsid w:val="0000755E"/>
    <w:rsid w:val="00015119"/>
    <w:rsid w:val="00016D74"/>
    <w:rsid w:val="00017BE7"/>
    <w:rsid w:val="00025988"/>
    <w:rsid w:val="000311C5"/>
    <w:rsid w:val="00031D7B"/>
    <w:rsid w:val="000332CF"/>
    <w:rsid w:val="000334CD"/>
    <w:rsid w:val="000416E1"/>
    <w:rsid w:val="000448EE"/>
    <w:rsid w:val="000539A9"/>
    <w:rsid w:val="00054435"/>
    <w:rsid w:val="0005445E"/>
    <w:rsid w:val="00055F28"/>
    <w:rsid w:val="00057275"/>
    <w:rsid w:val="00066520"/>
    <w:rsid w:val="000670B4"/>
    <w:rsid w:val="000717E2"/>
    <w:rsid w:val="00073143"/>
    <w:rsid w:val="00075B76"/>
    <w:rsid w:val="00075B7D"/>
    <w:rsid w:val="00075CAD"/>
    <w:rsid w:val="0007645B"/>
    <w:rsid w:val="00081049"/>
    <w:rsid w:val="000810EB"/>
    <w:rsid w:val="000831E9"/>
    <w:rsid w:val="00084AE1"/>
    <w:rsid w:val="000920F2"/>
    <w:rsid w:val="00097022"/>
    <w:rsid w:val="000A1D94"/>
    <w:rsid w:val="000A3C68"/>
    <w:rsid w:val="000A40FC"/>
    <w:rsid w:val="000B62E6"/>
    <w:rsid w:val="000C130E"/>
    <w:rsid w:val="000C2BC0"/>
    <w:rsid w:val="000C4C42"/>
    <w:rsid w:val="000D45B9"/>
    <w:rsid w:val="000E1AD1"/>
    <w:rsid w:val="0010070C"/>
    <w:rsid w:val="001017E5"/>
    <w:rsid w:val="00113193"/>
    <w:rsid w:val="00114DEC"/>
    <w:rsid w:val="00131916"/>
    <w:rsid w:val="00132DE0"/>
    <w:rsid w:val="00133550"/>
    <w:rsid w:val="00142619"/>
    <w:rsid w:val="00142FB0"/>
    <w:rsid w:val="001433DD"/>
    <w:rsid w:val="001433EA"/>
    <w:rsid w:val="001460DA"/>
    <w:rsid w:val="001473D4"/>
    <w:rsid w:val="001473F8"/>
    <w:rsid w:val="00150329"/>
    <w:rsid w:val="001507A8"/>
    <w:rsid w:val="001601AB"/>
    <w:rsid w:val="00166504"/>
    <w:rsid w:val="0016697F"/>
    <w:rsid w:val="001747AF"/>
    <w:rsid w:val="00175C8F"/>
    <w:rsid w:val="00183AA5"/>
    <w:rsid w:val="00183F33"/>
    <w:rsid w:val="00186224"/>
    <w:rsid w:val="001875E8"/>
    <w:rsid w:val="00190405"/>
    <w:rsid w:val="00190449"/>
    <w:rsid w:val="001965D6"/>
    <w:rsid w:val="001A1AE2"/>
    <w:rsid w:val="001A4021"/>
    <w:rsid w:val="001A5479"/>
    <w:rsid w:val="001A5AAF"/>
    <w:rsid w:val="001A5DE3"/>
    <w:rsid w:val="001B3448"/>
    <w:rsid w:val="001B4232"/>
    <w:rsid w:val="001C38D6"/>
    <w:rsid w:val="001C4B38"/>
    <w:rsid w:val="001C7C7B"/>
    <w:rsid w:val="001D2573"/>
    <w:rsid w:val="001D2F5B"/>
    <w:rsid w:val="001D396E"/>
    <w:rsid w:val="001D56B1"/>
    <w:rsid w:val="001D7415"/>
    <w:rsid w:val="001E4CD5"/>
    <w:rsid w:val="001E6B60"/>
    <w:rsid w:val="001F0654"/>
    <w:rsid w:val="001F2353"/>
    <w:rsid w:val="0020151D"/>
    <w:rsid w:val="00205699"/>
    <w:rsid w:val="00216F8B"/>
    <w:rsid w:val="00221C8A"/>
    <w:rsid w:val="00221FD6"/>
    <w:rsid w:val="00222823"/>
    <w:rsid w:val="00223AC0"/>
    <w:rsid w:val="00225F7D"/>
    <w:rsid w:val="00232F8A"/>
    <w:rsid w:val="002428A0"/>
    <w:rsid w:val="0024745F"/>
    <w:rsid w:val="00251017"/>
    <w:rsid w:val="00251BAC"/>
    <w:rsid w:val="002523BE"/>
    <w:rsid w:val="002531CD"/>
    <w:rsid w:val="00254852"/>
    <w:rsid w:val="00261FE7"/>
    <w:rsid w:val="002628A5"/>
    <w:rsid w:val="00262C49"/>
    <w:rsid w:val="002643C3"/>
    <w:rsid w:val="0026526F"/>
    <w:rsid w:val="002728A2"/>
    <w:rsid w:val="00285102"/>
    <w:rsid w:val="00290948"/>
    <w:rsid w:val="00291396"/>
    <w:rsid w:val="002A0076"/>
    <w:rsid w:val="002A09CA"/>
    <w:rsid w:val="002A0BF6"/>
    <w:rsid w:val="002A0E0C"/>
    <w:rsid w:val="002A1A8E"/>
    <w:rsid w:val="002A238F"/>
    <w:rsid w:val="002A4E7B"/>
    <w:rsid w:val="002B51D0"/>
    <w:rsid w:val="002B55FB"/>
    <w:rsid w:val="002C247B"/>
    <w:rsid w:val="002C30E3"/>
    <w:rsid w:val="002C380E"/>
    <w:rsid w:val="002C4E99"/>
    <w:rsid w:val="002C5215"/>
    <w:rsid w:val="002D02D2"/>
    <w:rsid w:val="002D09C1"/>
    <w:rsid w:val="002D1A5D"/>
    <w:rsid w:val="002D2DD3"/>
    <w:rsid w:val="002D36F6"/>
    <w:rsid w:val="002D7D72"/>
    <w:rsid w:val="002E14E3"/>
    <w:rsid w:val="002E1E76"/>
    <w:rsid w:val="002E5E6D"/>
    <w:rsid w:val="00301403"/>
    <w:rsid w:val="00304A61"/>
    <w:rsid w:val="003059EE"/>
    <w:rsid w:val="003103D3"/>
    <w:rsid w:val="00315240"/>
    <w:rsid w:val="0031754D"/>
    <w:rsid w:val="00321049"/>
    <w:rsid w:val="0032313B"/>
    <w:rsid w:val="00336668"/>
    <w:rsid w:val="00337B89"/>
    <w:rsid w:val="00340EC0"/>
    <w:rsid w:val="00342EE3"/>
    <w:rsid w:val="00343187"/>
    <w:rsid w:val="0035244E"/>
    <w:rsid w:val="00352A37"/>
    <w:rsid w:val="00355AEB"/>
    <w:rsid w:val="0035731D"/>
    <w:rsid w:val="003574FD"/>
    <w:rsid w:val="003617A8"/>
    <w:rsid w:val="00361951"/>
    <w:rsid w:val="00361F43"/>
    <w:rsid w:val="00362C1B"/>
    <w:rsid w:val="00364590"/>
    <w:rsid w:val="00364751"/>
    <w:rsid w:val="0037218B"/>
    <w:rsid w:val="00373634"/>
    <w:rsid w:val="00386F4E"/>
    <w:rsid w:val="003923F4"/>
    <w:rsid w:val="003934CD"/>
    <w:rsid w:val="003941A8"/>
    <w:rsid w:val="00397E3C"/>
    <w:rsid w:val="003A1BAC"/>
    <w:rsid w:val="003A2816"/>
    <w:rsid w:val="003B3171"/>
    <w:rsid w:val="003B419A"/>
    <w:rsid w:val="003B6EB9"/>
    <w:rsid w:val="003C01B5"/>
    <w:rsid w:val="003C4664"/>
    <w:rsid w:val="003D4A7B"/>
    <w:rsid w:val="003E1397"/>
    <w:rsid w:val="003E21B3"/>
    <w:rsid w:val="003F02FE"/>
    <w:rsid w:val="003F79AC"/>
    <w:rsid w:val="00400A94"/>
    <w:rsid w:val="0040107F"/>
    <w:rsid w:val="004041AF"/>
    <w:rsid w:val="0041130A"/>
    <w:rsid w:val="00423398"/>
    <w:rsid w:val="00425E7B"/>
    <w:rsid w:val="00427F85"/>
    <w:rsid w:val="004342CA"/>
    <w:rsid w:val="0043641E"/>
    <w:rsid w:val="00441012"/>
    <w:rsid w:val="00445371"/>
    <w:rsid w:val="00446FC0"/>
    <w:rsid w:val="00452736"/>
    <w:rsid w:val="0045489B"/>
    <w:rsid w:val="00455B43"/>
    <w:rsid w:val="004622AB"/>
    <w:rsid w:val="004622C5"/>
    <w:rsid w:val="00463B1C"/>
    <w:rsid w:val="004653C0"/>
    <w:rsid w:val="00465C62"/>
    <w:rsid w:val="0047256E"/>
    <w:rsid w:val="004741EB"/>
    <w:rsid w:val="00475798"/>
    <w:rsid w:val="00475D63"/>
    <w:rsid w:val="00481EDC"/>
    <w:rsid w:val="00482121"/>
    <w:rsid w:val="00485B74"/>
    <w:rsid w:val="004900CE"/>
    <w:rsid w:val="00490E4F"/>
    <w:rsid w:val="00496112"/>
    <w:rsid w:val="0049683E"/>
    <w:rsid w:val="00496845"/>
    <w:rsid w:val="00496F1D"/>
    <w:rsid w:val="004979E7"/>
    <w:rsid w:val="004A3581"/>
    <w:rsid w:val="004A47F0"/>
    <w:rsid w:val="004A514F"/>
    <w:rsid w:val="004B1FFB"/>
    <w:rsid w:val="004C4357"/>
    <w:rsid w:val="004C49B1"/>
    <w:rsid w:val="004C6DF5"/>
    <w:rsid w:val="004D24D2"/>
    <w:rsid w:val="004D69B5"/>
    <w:rsid w:val="004E583B"/>
    <w:rsid w:val="004F2745"/>
    <w:rsid w:val="004F4B74"/>
    <w:rsid w:val="004F514C"/>
    <w:rsid w:val="004F74E5"/>
    <w:rsid w:val="005074FB"/>
    <w:rsid w:val="005126BA"/>
    <w:rsid w:val="00513281"/>
    <w:rsid w:val="00517479"/>
    <w:rsid w:val="0052126E"/>
    <w:rsid w:val="00521CFA"/>
    <w:rsid w:val="00523B5E"/>
    <w:rsid w:val="0054061E"/>
    <w:rsid w:val="00546C0E"/>
    <w:rsid w:val="005518DA"/>
    <w:rsid w:val="0055620B"/>
    <w:rsid w:val="005565F5"/>
    <w:rsid w:val="005617F7"/>
    <w:rsid w:val="005674AC"/>
    <w:rsid w:val="005769DB"/>
    <w:rsid w:val="005808AD"/>
    <w:rsid w:val="00581599"/>
    <w:rsid w:val="005838C6"/>
    <w:rsid w:val="005862D8"/>
    <w:rsid w:val="0059266E"/>
    <w:rsid w:val="005A02A3"/>
    <w:rsid w:val="005A6527"/>
    <w:rsid w:val="005B2B98"/>
    <w:rsid w:val="005B65B8"/>
    <w:rsid w:val="005B7B34"/>
    <w:rsid w:val="005B7FBE"/>
    <w:rsid w:val="005C15D1"/>
    <w:rsid w:val="005C7B0F"/>
    <w:rsid w:val="005D4C50"/>
    <w:rsid w:val="00603CC2"/>
    <w:rsid w:val="00607F28"/>
    <w:rsid w:val="00616015"/>
    <w:rsid w:val="00621DEB"/>
    <w:rsid w:val="00624F85"/>
    <w:rsid w:val="00635E14"/>
    <w:rsid w:val="00641158"/>
    <w:rsid w:val="00645BEA"/>
    <w:rsid w:val="00652AB2"/>
    <w:rsid w:val="006537D4"/>
    <w:rsid w:val="0065423E"/>
    <w:rsid w:val="00654AD0"/>
    <w:rsid w:val="00655C57"/>
    <w:rsid w:val="00663F5B"/>
    <w:rsid w:val="0066615A"/>
    <w:rsid w:val="00670647"/>
    <w:rsid w:val="006751E1"/>
    <w:rsid w:val="00676AC8"/>
    <w:rsid w:val="00680903"/>
    <w:rsid w:val="006856C8"/>
    <w:rsid w:val="00686AA2"/>
    <w:rsid w:val="006A47C4"/>
    <w:rsid w:val="006A48D9"/>
    <w:rsid w:val="006A6243"/>
    <w:rsid w:val="006A7175"/>
    <w:rsid w:val="006B5CC2"/>
    <w:rsid w:val="006C4852"/>
    <w:rsid w:val="006C6842"/>
    <w:rsid w:val="006D34B3"/>
    <w:rsid w:val="006D4ED3"/>
    <w:rsid w:val="006D5F31"/>
    <w:rsid w:val="006D6617"/>
    <w:rsid w:val="006D7B48"/>
    <w:rsid w:val="006E73BD"/>
    <w:rsid w:val="006E7CB6"/>
    <w:rsid w:val="006F1F80"/>
    <w:rsid w:val="006F24DF"/>
    <w:rsid w:val="00700BC6"/>
    <w:rsid w:val="00703208"/>
    <w:rsid w:val="00707196"/>
    <w:rsid w:val="0071011D"/>
    <w:rsid w:val="0071089A"/>
    <w:rsid w:val="00717F60"/>
    <w:rsid w:val="00725BEF"/>
    <w:rsid w:val="007270CE"/>
    <w:rsid w:val="00732781"/>
    <w:rsid w:val="00737452"/>
    <w:rsid w:val="00741867"/>
    <w:rsid w:val="00751AE4"/>
    <w:rsid w:val="00760D80"/>
    <w:rsid w:val="00761488"/>
    <w:rsid w:val="007616E0"/>
    <w:rsid w:val="00764091"/>
    <w:rsid w:val="00765E85"/>
    <w:rsid w:val="00765F8F"/>
    <w:rsid w:val="00770893"/>
    <w:rsid w:val="00775670"/>
    <w:rsid w:val="00777D68"/>
    <w:rsid w:val="007805FF"/>
    <w:rsid w:val="00780870"/>
    <w:rsid w:val="00782F90"/>
    <w:rsid w:val="00792F60"/>
    <w:rsid w:val="007945C3"/>
    <w:rsid w:val="00795010"/>
    <w:rsid w:val="0079515F"/>
    <w:rsid w:val="00797CCD"/>
    <w:rsid w:val="007A04AF"/>
    <w:rsid w:val="007A48E3"/>
    <w:rsid w:val="007A6297"/>
    <w:rsid w:val="007B04DA"/>
    <w:rsid w:val="007B1A00"/>
    <w:rsid w:val="007B3CFF"/>
    <w:rsid w:val="007B4D1D"/>
    <w:rsid w:val="007C2258"/>
    <w:rsid w:val="007D022D"/>
    <w:rsid w:val="007D0C72"/>
    <w:rsid w:val="007D2128"/>
    <w:rsid w:val="007D2942"/>
    <w:rsid w:val="007D59C3"/>
    <w:rsid w:val="007D65E5"/>
    <w:rsid w:val="007D74FA"/>
    <w:rsid w:val="007D7CE1"/>
    <w:rsid w:val="007E07B7"/>
    <w:rsid w:val="007E35D0"/>
    <w:rsid w:val="007F204D"/>
    <w:rsid w:val="00804A1B"/>
    <w:rsid w:val="00805932"/>
    <w:rsid w:val="00822B81"/>
    <w:rsid w:val="00826B23"/>
    <w:rsid w:val="00830423"/>
    <w:rsid w:val="008443C6"/>
    <w:rsid w:val="00845E3C"/>
    <w:rsid w:val="00846167"/>
    <w:rsid w:val="008504F5"/>
    <w:rsid w:val="00852553"/>
    <w:rsid w:val="00862468"/>
    <w:rsid w:val="00866AB1"/>
    <w:rsid w:val="0086753F"/>
    <w:rsid w:val="00867CE3"/>
    <w:rsid w:val="00872679"/>
    <w:rsid w:val="00872A3B"/>
    <w:rsid w:val="00873CE1"/>
    <w:rsid w:val="008753FB"/>
    <w:rsid w:val="008779AA"/>
    <w:rsid w:val="00881760"/>
    <w:rsid w:val="008819DD"/>
    <w:rsid w:val="00881E21"/>
    <w:rsid w:val="00883AA7"/>
    <w:rsid w:val="00883F54"/>
    <w:rsid w:val="00887DEE"/>
    <w:rsid w:val="0089048D"/>
    <w:rsid w:val="00895C45"/>
    <w:rsid w:val="008A3F99"/>
    <w:rsid w:val="008A4C08"/>
    <w:rsid w:val="008B1AD7"/>
    <w:rsid w:val="008B1B67"/>
    <w:rsid w:val="008B5002"/>
    <w:rsid w:val="008B6DD0"/>
    <w:rsid w:val="008D55A7"/>
    <w:rsid w:val="008D6AE5"/>
    <w:rsid w:val="008E3D7B"/>
    <w:rsid w:val="008E59DE"/>
    <w:rsid w:val="008F216A"/>
    <w:rsid w:val="008F5058"/>
    <w:rsid w:val="008F763C"/>
    <w:rsid w:val="0090086C"/>
    <w:rsid w:val="009012B8"/>
    <w:rsid w:val="00913F38"/>
    <w:rsid w:val="00920F30"/>
    <w:rsid w:val="009276B5"/>
    <w:rsid w:val="00941CE6"/>
    <w:rsid w:val="00943FE9"/>
    <w:rsid w:val="009474EE"/>
    <w:rsid w:val="00953902"/>
    <w:rsid w:val="00953EA4"/>
    <w:rsid w:val="009545F9"/>
    <w:rsid w:val="00957D32"/>
    <w:rsid w:val="009659B6"/>
    <w:rsid w:val="009719B0"/>
    <w:rsid w:val="00974CC2"/>
    <w:rsid w:val="00976DB3"/>
    <w:rsid w:val="00982EC9"/>
    <w:rsid w:val="00993818"/>
    <w:rsid w:val="009A26BF"/>
    <w:rsid w:val="009A60D9"/>
    <w:rsid w:val="009A6781"/>
    <w:rsid w:val="009B2B9A"/>
    <w:rsid w:val="009B4F91"/>
    <w:rsid w:val="009B7135"/>
    <w:rsid w:val="009C5AAF"/>
    <w:rsid w:val="009D3FC9"/>
    <w:rsid w:val="009D5A25"/>
    <w:rsid w:val="009D7D73"/>
    <w:rsid w:val="009D7F79"/>
    <w:rsid w:val="009E2607"/>
    <w:rsid w:val="009E471C"/>
    <w:rsid w:val="009E49BF"/>
    <w:rsid w:val="009E6CC5"/>
    <w:rsid w:val="009F3453"/>
    <w:rsid w:val="009F5D33"/>
    <w:rsid w:val="00A0248C"/>
    <w:rsid w:val="00A03AF2"/>
    <w:rsid w:val="00A03BD9"/>
    <w:rsid w:val="00A04FCD"/>
    <w:rsid w:val="00A20DAF"/>
    <w:rsid w:val="00A3451A"/>
    <w:rsid w:val="00A35870"/>
    <w:rsid w:val="00A457B7"/>
    <w:rsid w:val="00A47B45"/>
    <w:rsid w:val="00A550B6"/>
    <w:rsid w:val="00A5555E"/>
    <w:rsid w:val="00A55A5A"/>
    <w:rsid w:val="00A55E50"/>
    <w:rsid w:val="00A565A7"/>
    <w:rsid w:val="00A56A74"/>
    <w:rsid w:val="00A606CD"/>
    <w:rsid w:val="00A72AC8"/>
    <w:rsid w:val="00A73E2E"/>
    <w:rsid w:val="00A758F6"/>
    <w:rsid w:val="00A842B0"/>
    <w:rsid w:val="00A856DE"/>
    <w:rsid w:val="00A90125"/>
    <w:rsid w:val="00A909BF"/>
    <w:rsid w:val="00AA118B"/>
    <w:rsid w:val="00AB2581"/>
    <w:rsid w:val="00AB4903"/>
    <w:rsid w:val="00AC4271"/>
    <w:rsid w:val="00AD1BA1"/>
    <w:rsid w:val="00AD34B4"/>
    <w:rsid w:val="00AD420C"/>
    <w:rsid w:val="00AE0CCE"/>
    <w:rsid w:val="00AE1972"/>
    <w:rsid w:val="00AF3E4A"/>
    <w:rsid w:val="00AF4978"/>
    <w:rsid w:val="00AF7A56"/>
    <w:rsid w:val="00AF7EF6"/>
    <w:rsid w:val="00B010B1"/>
    <w:rsid w:val="00B04BC6"/>
    <w:rsid w:val="00B107BF"/>
    <w:rsid w:val="00B10AA8"/>
    <w:rsid w:val="00B14FF3"/>
    <w:rsid w:val="00B22C09"/>
    <w:rsid w:val="00B27E97"/>
    <w:rsid w:val="00B32CF6"/>
    <w:rsid w:val="00B33B2D"/>
    <w:rsid w:val="00B37173"/>
    <w:rsid w:val="00B42EF7"/>
    <w:rsid w:val="00B501D8"/>
    <w:rsid w:val="00B517DB"/>
    <w:rsid w:val="00B53CD9"/>
    <w:rsid w:val="00B57984"/>
    <w:rsid w:val="00B6164E"/>
    <w:rsid w:val="00B61B37"/>
    <w:rsid w:val="00B63141"/>
    <w:rsid w:val="00B66FA0"/>
    <w:rsid w:val="00B7121E"/>
    <w:rsid w:val="00B71762"/>
    <w:rsid w:val="00B7215C"/>
    <w:rsid w:val="00B85E52"/>
    <w:rsid w:val="00B861C1"/>
    <w:rsid w:val="00B861D3"/>
    <w:rsid w:val="00B86209"/>
    <w:rsid w:val="00B91B4F"/>
    <w:rsid w:val="00B93375"/>
    <w:rsid w:val="00B96925"/>
    <w:rsid w:val="00B96E3C"/>
    <w:rsid w:val="00BA093A"/>
    <w:rsid w:val="00BA4CB0"/>
    <w:rsid w:val="00BA50B2"/>
    <w:rsid w:val="00BA5390"/>
    <w:rsid w:val="00BB18CD"/>
    <w:rsid w:val="00BB6C64"/>
    <w:rsid w:val="00BC023F"/>
    <w:rsid w:val="00BC03BA"/>
    <w:rsid w:val="00BC3BE3"/>
    <w:rsid w:val="00BC4EA0"/>
    <w:rsid w:val="00BD2653"/>
    <w:rsid w:val="00BD2A54"/>
    <w:rsid w:val="00BD7667"/>
    <w:rsid w:val="00BD7869"/>
    <w:rsid w:val="00BE75C3"/>
    <w:rsid w:val="00BE7A80"/>
    <w:rsid w:val="00BE7B31"/>
    <w:rsid w:val="00BF1B2F"/>
    <w:rsid w:val="00BF1D12"/>
    <w:rsid w:val="00BF62EF"/>
    <w:rsid w:val="00C0067E"/>
    <w:rsid w:val="00C0524E"/>
    <w:rsid w:val="00C24A83"/>
    <w:rsid w:val="00C24EE7"/>
    <w:rsid w:val="00C25E58"/>
    <w:rsid w:val="00C300EA"/>
    <w:rsid w:val="00C350D6"/>
    <w:rsid w:val="00C35D8F"/>
    <w:rsid w:val="00C40D2B"/>
    <w:rsid w:val="00C42FC1"/>
    <w:rsid w:val="00C47F0A"/>
    <w:rsid w:val="00C57301"/>
    <w:rsid w:val="00C70A63"/>
    <w:rsid w:val="00C84216"/>
    <w:rsid w:val="00C84BEE"/>
    <w:rsid w:val="00C86C01"/>
    <w:rsid w:val="00C93B12"/>
    <w:rsid w:val="00CA1EAB"/>
    <w:rsid w:val="00CA7EEB"/>
    <w:rsid w:val="00CB39BB"/>
    <w:rsid w:val="00CC654C"/>
    <w:rsid w:val="00CD048E"/>
    <w:rsid w:val="00CD4790"/>
    <w:rsid w:val="00CD58E8"/>
    <w:rsid w:val="00CD7BE8"/>
    <w:rsid w:val="00CE316B"/>
    <w:rsid w:val="00CE4F3D"/>
    <w:rsid w:val="00CE682C"/>
    <w:rsid w:val="00CE68FB"/>
    <w:rsid w:val="00CE7E21"/>
    <w:rsid w:val="00CF0AFB"/>
    <w:rsid w:val="00CF3F29"/>
    <w:rsid w:val="00CF69EB"/>
    <w:rsid w:val="00D01BEE"/>
    <w:rsid w:val="00D02C91"/>
    <w:rsid w:val="00D0316D"/>
    <w:rsid w:val="00D138AA"/>
    <w:rsid w:val="00D16F84"/>
    <w:rsid w:val="00D33705"/>
    <w:rsid w:val="00D33C6B"/>
    <w:rsid w:val="00D3549C"/>
    <w:rsid w:val="00D35BA2"/>
    <w:rsid w:val="00D36B85"/>
    <w:rsid w:val="00D41135"/>
    <w:rsid w:val="00D41A7F"/>
    <w:rsid w:val="00D42004"/>
    <w:rsid w:val="00D46EA8"/>
    <w:rsid w:val="00D5422F"/>
    <w:rsid w:val="00D60237"/>
    <w:rsid w:val="00D6480C"/>
    <w:rsid w:val="00D73E0B"/>
    <w:rsid w:val="00D76299"/>
    <w:rsid w:val="00D80B10"/>
    <w:rsid w:val="00D825E0"/>
    <w:rsid w:val="00D83530"/>
    <w:rsid w:val="00D87808"/>
    <w:rsid w:val="00D903C8"/>
    <w:rsid w:val="00D935B3"/>
    <w:rsid w:val="00D93A3D"/>
    <w:rsid w:val="00D96DD3"/>
    <w:rsid w:val="00DA6852"/>
    <w:rsid w:val="00DA7189"/>
    <w:rsid w:val="00DB158A"/>
    <w:rsid w:val="00DB36C0"/>
    <w:rsid w:val="00DB48A8"/>
    <w:rsid w:val="00DC2368"/>
    <w:rsid w:val="00DC7805"/>
    <w:rsid w:val="00DD5E8B"/>
    <w:rsid w:val="00DD7943"/>
    <w:rsid w:val="00DE2E3D"/>
    <w:rsid w:val="00DE6DE3"/>
    <w:rsid w:val="00DF323D"/>
    <w:rsid w:val="00DF7D04"/>
    <w:rsid w:val="00E01212"/>
    <w:rsid w:val="00E0142F"/>
    <w:rsid w:val="00E01F97"/>
    <w:rsid w:val="00E044EA"/>
    <w:rsid w:val="00E04E7F"/>
    <w:rsid w:val="00E06E07"/>
    <w:rsid w:val="00E1029A"/>
    <w:rsid w:val="00E1040E"/>
    <w:rsid w:val="00E11D2D"/>
    <w:rsid w:val="00E12310"/>
    <w:rsid w:val="00E12586"/>
    <w:rsid w:val="00E14132"/>
    <w:rsid w:val="00E15E24"/>
    <w:rsid w:val="00E165DF"/>
    <w:rsid w:val="00E16ED8"/>
    <w:rsid w:val="00E3393E"/>
    <w:rsid w:val="00E356DE"/>
    <w:rsid w:val="00E37487"/>
    <w:rsid w:val="00E42DA6"/>
    <w:rsid w:val="00E4635C"/>
    <w:rsid w:val="00E47D80"/>
    <w:rsid w:val="00E50987"/>
    <w:rsid w:val="00E54AC4"/>
    <w:rsid w:val="00E56909"/>
    <w:rsid w:val="00E65593"/>
    <w:rsid w:val="00E71BB4"/>
    <w:rsid w:val="00E7323D"/>
    <w:rsid w:val="00E74BF4"/>
    <w:rsid w:val="00E76788"/>
    <w:rsid w:val="00E81DF8"/>
    <w:rsid w:val="00E85C1B"/>
    <w:rsid w:val="00E9096E"/>
    <w:rsid w:val="00E9384D"/>
    <w:rsid w:val="00E93E29"/>
    <w:rsid w:val="00EA017C"/>
    <w:rsid w:val="00EA4D48"/>
    <w:rsid w:val="00EA6796"/>
    <w:rsid w:val="00EB6912"/>
    <w:rsid w:val="00EC0E48"/>
    <w:rsid w:val="00EC7007"/>
    <w:rsid w:val="00ED18DD"/>
    <w:rsid w:val="00ED3312"/>
    <w:rsid w:val="00ED5EF0"/>
    <w:rsid w:val="00ED6160"/>
    <w:rsid w:val="00EE1232"/>
    <w:rsid w:val="00EE3007"/>
    <w:rsid w:val="00EF5F57"/>
    <w:rsid w:val="00EF7070"/>
    <w:rsid w:val="00EF788A"/>
    <w:rsid w:val="00EF7AD8"/>
    <w:rsid w:val="00F003A1"/>
    <w:rsid w:val="00F0045F"/>
    <w:rsid w:val="00F01598"/>
    <w:rsid w:val="00F02071"/>
    <w:rsid w:val="00F03EB8"/>
    <w:rsid w:val="00F05707"/>
    <w:rsid w:val="00F07B1C"/>
    <w:rsid w:val="00F07B8C"/>
    <w:rsid w:val="00F1561D"/>
    <w:rsid w:val="00F16AE1"/>
    <w:rsid w:val="00F171D4"/>
    <w:rsid w:val="00F20530"/>
    <w:rsid w:val="00F2396F"/>
    <w:rsid w:val="00F32C3D"/>
    <w:rsid w:val="00F36F45"/>
    <w:rsid w:val="00F45F00"/>
    <w:rsid w:val="00F47E56"/>
    <w:rsid w:val="00F51D5F"/>
    <w:rsid w:val="00F5409D"/>
    <w:rsid w:val="00F56191"/>
    <w:rsid w:val="00F56BC3"/>
    <w:rsid w:val="00F60CC2"/>
    <w:rsid w:val="00F618BA"/>
    <w:rsid w:val="00F63514"/>
    <w:rsid w:val="00F70A15"/>
    <w:rsid w:val="00F71B0E"/>
    <w:rsid w:val="00F72524"/>
    <w:rsid w:val="00F753EC"/>
    <w:rsid w:val="00F97D05"/>
    <w:rsid w:val="00FA0F57"/>
    <w:rsid w:val="00FA1614"/>
    <w:rsid w:val="00FA163F"/>
    <w:rsid w:val="00FA1936"/>
    <w:rsid w:val="00FA201E"/>
    <w:rsid w:val="00FA3137"/>
    <w:rsid w:val="00FB1A78"/>
    <w:rsid w:val="00FC4B6E"/>
    <w:rsid w:val="00FC599D"/>
    <w:rsid w:val="00FC6CDF"/>
    <w:rsid w:val="00FD05D5"/>
    <w:rsid w:val="00FD0B10"/>
    <w:rsid w:val="00FD373D"/>
    <w:rsid w:val="00FD377E"/>
    <w:rsid w:val="00FE045B"/>
    <w:rsid w:val="00FE2E36"/>
    <w:rsid w:val="00FE5B2A"/>
    <w:rsid w:val="00FE7CC3"/>
    <w:rsid w:val="00FF0FC4"/>
    <w:rsid w:val="00FF3932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56BF1"/>
  <w15:chartTrackingRefBased/>
  <w15:docId w15:val="{E590321E-35B1-4B79-919F-3B89D94D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3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35C"/>
  </w:style>
  <w:style w:type="paragraph" w:styleId="Footer">
    <w:name w:val="footer"/>
    <w:basedOn w:val="Normal"/>
    <w:link w:val="FooterChar"/>
    <w:uiPriority w:val="99"/>
    <w:unhideWhenUsed/>
    <w:rsid w:val="00E463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35C"/>
  </w:style>
  <w:style w:type="paragraph" w:styleId="BalloonText">
    <w:name w:val="Balloon Text"/>
    <w:basedOn w:val="Normal"/>
    <w:link w:val="BalloonTextChar"/>
    <w:uiPriority w:val="99"/>
    <w:semiHidden/>
    <w:unhideWhenUsed/>
    <w:rsid w:val="004010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348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1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0113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38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808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66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66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01kid.com/collegefunding/coverdell.php" TargetMode="External"/><Relationship Id="rId13" Type="http://schemas.openxmlformats.org/officeDocument/2006/relationships/hyperlink" Target="http://www.401kid.com/collegefunding/coverdell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401kid.com/collegefunding/529plans.php" TargetMode="External"/><Relationship Id="rId12" Type="http://schemas.openxmlformats.org/officeDocument/2006/relationships/hyperlink" Target="http://www.401kid.com/collegefunding/529plans.ph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401kid.com/collegefunding/alternativeoptions/eebonds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401kid.com/collegefunding/alternativeoptions/eebond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401kid.com/collegefunding/rothira.php" TargetMode="External"/><Relationship Id="rId10" Type="http://schemas.openxmlformats.org/officeDocument/2006/relationships/hyperlink" Target="http://www.401kid.com/collegefunding/rothira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401kid.com/collegefunding/ugma.php" TargetMode="External"/><Relationship Id="rId14" Type="http://schemas.openxmlformats.org/officeDocument/2006/relationships/hyperlink" Target="http://www.401kid.com/collegefunding/ugma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Schroeder</dc:creator>
  <cp:keywords/>
  <dc:description/>
  <cp:lastModifiedBy>Greg Schroeder</cp:lastModifiedBy>
  <cp:revision>3</cp:revision>
  <cp:lastPrinted>2014-09-16T17:19:00Z</cp:lastPrinted>
  <dcterms:created xsi:type="dcterms:W3CDTF">2019-03-18T21:47:00Z</dcterms:created>
  <dcterms:modified xsi:type="dcterms:W3CDTF">2019-08-05T16:10:00Z</dcterms:modified>
</cp:coreProperties>
</file>